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color w:val="000000"/>
          <w:kern w:val="0"/>
          <w:sz w:val="24"/>
          <w:szCs w:val="24"/>
        </w:rPr>
      </w:pPr>
      <w:r>
        <w:rPr>
          <w:rFonts w:hint="eastAsia" w:ascii="宋体" w:hAnsi="宋体"/>
          <w:b/>
          <w:bCs/>
          <w:color w:val="000000"/>
          <w:kern w:val="0"/>
          <w:sz w:val="24"/>
          <w:szCs w:val="24"/>
        </w:rPr>
        <w:t>宁夏社会科学院2021年度重点项目支出绩效评价报告</w:t>
      </w:r>
    </w:p>
    <w:p>
      <w:pPr>
        <w:rPr>
          <w:rFonts w:ascii="宋体" w:hAnsi="宋体"/>
          <w:color w:val="000000"/>
          <w:kern w:val="0"/>
          <w:sz w:val="24"/>
          <w:szCs w:val="24"/>
        </w:rPr>
      </w:pPr>
    </w:p>
    <w:p>
      <w:pPr>
        <w:spacing w:line="360" w:lineRule="auto"/>
        <w:rPr>
          <w:rFonts w:ascii="宋体" w:hAnsi="宋体"/>
          <w:color w:val="000000"/>
          <w:kern w:val="0"/>
          <w:sz w:val="24"/>
          <w:szCs w:val="24"/>
        </w:rPr>
      </w:pPr>
      <w:r>
        <w:rPr>
          <w:rFonts w:hint="eastAsia" w:ascii="宋体" w:hAnsi="宋体"/>
          <w:color w:val="000000"/>
          <w:kern w:val="0"/>
          <w:sz w:val="24"/>
          <w:szCs w:val="24"/>
        </w:rPr>
        <w:t xml:space="preserve">     </w:t>
      </w:r>
      <w:r>
        <w:rPr>
          <w:rFonts w:ascii="宋体" w:hAnsi="宋体"/>
          <w:color w:val="000000"/>
          <w:kern w:val="0"/>
          <w:sz w:val="24"/>
          <w:szCs w:val="24"/>
        </w:rPr>
        <w:t>根据自治区党委人民政府《关于全面实施预算绩效管理的实施意见》（宁党发〔2019〕9号）和自治区财政厅《关于开展</w:t>
      </w:r>
      <w:r>
        <w:rPr>
          <w:rFonts w:hint="eastAsia" w:ascii="宋体" w:hAnsi="宋体"/>
          <w:color w:val="000000"/>
          <w:kern w:val="0"/>
          <w:sz w:val="24"/>
          <w:szCs w:val="24"/>
        </w:rPr>
        <w:t>2021</w:t>
      </w:r>
      <w:r>
        <w:rPr>
          <w:rFonts w:ascii="宋体" w:hAnsi="宋体"/>
          <w:color w:val="000000"/>
          <w:kern w:val="0"/>
          <w:sz w:val="24"/>
          <w:szCs w:val="24"/>
        </w:rPr>
        <w:t>年度</w:t>
      </w:r>
      <w:r>
        <w:rPr>
          <w:rFonts w:hint="eastAsia" w:ascii="宋体" w:hAnsi="宋体"/>
          <w:color w:val="000000"/>
          <w:kern w:val="0"/>
          <w:sz w:val="24"/>
          <w:szCs w:val="24"/>
        </w:rPr>
        <w:t>转移支付预算执行情况绩效自评和项目支出绩效评价工作</w:t>
      </w:r>
      <w:r>
        <w:rPr>
          <w:rFonts w:ascii="宋体" w:hAnsi="宋体"/>
          <w:color w:val="000000"/>
          <w:kern w:val="0"/>
          <w:sz w:val="24"/>
          <w:szCs w:val="24"/>
        </w:rPr>
        <w:t>的通知》（宁财（绩）发〔</w:t>
      </w:r>
      <w:r>
        <w:rPr>
          <w:rFonts w:hint="eastAsia" w:ascii="宋体" w:hAnsi="宋体"/>
          <w:color w:val="000000"/>
          <w:kern w:val="0"/>
          <w:sz w:val="24"/>
          <w:szCs w:val="24"/>
        </w:rPr>
        <w:t>2022</w:t>
      </w:r>
      <w:r>
        <w:rPr>
          <w:rFonts w:ascii="宋体" w:hAnsi="宋体"/>
          <w:color w:val="000000"/>
          <w:kern w:val="0"/>
          <w:sz w:val="24"/>
          <w:szCs w:val="24"/>
        </w:rPr>
        <w:t>〕</w:t>
      </w:r>
      <w:r>
        <w:rPr>
          <w:rFonts w:hint="eastAsia" w:ascii="宋体" w:hAnsi="宋体"/>
          <w:color w:val="000000"/>
          <w:kern w:val="0"/>
          <w:sz w:val="24"/>
          <w:szCs w:val="24"/>
        </w:rPr>
        <w:t>68</w:t>
      </w:r>
      <w:r>
        <w:rPr>
          <w:rFonts w:ascii="宋体" w:hAnsi="宋体"/>
          <w:color w:val="000000"/>
          <w:kern w:val="0"/>
          <w:sz w:val="24"/>
          <w:szCs w:val="24"/>
        </w:rPr>
        <w:t>号）的</w:t>
      </w:r>
      <w:r>
        <w:rPr>
          <w:rFonts w:hint="eastAsia" w:ascii="宋体" w:hAnsi="宋体"/>
          <w:color w:val="000000"/>
          <w:kern w:val="0"/>
          <w:sz w:val="24"/>
          <w:szCs w:val="24"/>
        </w:rPr>
        <w:t>文件精神，我院对2021年度项目支出绩效情况进行了自评，同时对重点项目委托宁夏天华会计师事务所进行了绩效评价。现将自评结果予以公示，并将有关情况说明如下：</w:t>
      </w:r>
    </w:p>
    <w:p>
      <w:pPr>
        <w:spacing w:line="360" w:lineRule="auto"/>
        <w:ind w:firstLine="542" w:firstLineChars="225"/>
        <w:rPr>
          <w:rFonts w:ascii="宋体" w:hAnsi="宋体"/>
          <w:b/>
          <w:color w:val="000000"/>
          <w:kern w:val="0"/>
          <w:sz w:val="24"/>
          <w:szCs w:val="24"/>
        </w:rPr>
      </w:pPr>
      <w:r>
        <w:rPr>
          <w:rFonts w:hint="eastAsia" w:ascii="宋体" w:hAnsi="宋体"/>
          <w:b/>
          <w:color w:val="000000"/>
          <w:kern w:val="0"/>
          <w:sz w:val="24"/>
          <w:szCs w:val="24"/>
        </w:rPr>
        <w:t>一、总体项目绩效评价情况</w:t>
      </w:r>
    </w:p>
    <w:p>
      <w:pPr>
        <w:spacing w:line="360" w:lineRule="auto"/>
        <w:ind w:firstLine="540" w:firstLineChars="225"/>
        <w:rPr>
          <w:rFonts w:ascii="宋体" w:hAnsi="宋体"/>
          <w:color w:val="000000"/>
          <w:kern w:val="0"/>
          <w:sz w:val="24"/>
          <w:szCs w:val="24"/>
        </w:rPr>
      </w:pPr>
      <w:r>
        <w:rPr>
          <w:rFonts w:hint="eastAsia" w:ascii="宋体" w:hAnsi="宋体"/>
          <w:color w:val="000000"/>
          <w:kern w:val="0"/>
          <w:sz w:val="24"/>
          <w:szCs w:val="24"/>
        </w:rPr>
        <w:t>我院根据年初财政厅批复的项目绩效目标，以及项目全年绩效执行情况对项目进行了评价。我院列入2021年部门项目预算的总体项目有4个（年初预算二次分配后项目达50多个），总金额866.82万元（含上年结转经费）。项目绩效评价总体良好。</w:t>
      </w:r>
    </w:p>
    <w:p>
      <w:pPr>
        <w:spacing w:line="360" w:lineRule="auto"/>
        <w:ind w:firstLine="540" w:firstLineChars="225"/>
        <w:rPr>
          <w:rFonts w:ascii="宋体" w:hAnsi="宋体"/>
          <w:color w:val="000000"/>
          <w:kern w:val="0"/>
          <w:sz w:val="24"/>
          <w:szCs w:val="24"/>
        </w:rPr>
      </w:pPr>
      <w:r>
        <w:rPr>
          <w:rFonts w:hint="eastAsia" w:ascii="宋体" w:hAnsi="宋体"/>
          <w:color w:val="000000"/>
          <w:kern w:val="0"/>
          <w:sz w:val="24"/>
          <w:szCs w:val="24"/>
        </w:rPr>
        <w:t>同时，按照文件要求，我院针对重点项目委托宁夏天华会计师事务所进行了绩效评价。进行绩效评价的2021年重点项目包含14个分项目，</w:t>
      </w:r>
      <w:r>
        <w:rPr>
          <w:rFonts w:ascii="宋体" w:hAnsi="宋体"/>
          <w:color w:val="000000"/>
          <w:kern w:val="0"/>
          <w:sz w:val="24"/>
          <w:szCs w:val="24"/>
        </w:rPr>
        <w:t>根据各项目的预算金额占全部项目总预算金额的比例加权平均后，</w:t>
      </w:r>
      <w:r>
        <w:rPr>
          <w:rFonts w:hint="eastAsia" w:ascii="宋体" w:hAnsi="宋体"/>
          <w:color w:val="000000"/>
          <w:kern w:val="0"/>
          <w:sz w:val="24"/>
          <w:szCs w:val="24"/>
        </w:rPr>
        <w:t>2021</w:t>
      </w:r>
      <w:r>
        <w:rPr>
          <w:rFonts w:ascii="宋体" w:hAnsi="宋体"/>
          <w:color w:val="000000"/>
          <w:kern w:val="0"/>
          <w:sz w:val="24"/>
          <w:szCs w:val="24"/>
        </w:rPr>
        <w:t>年度重点项目支出绩效评价综合得分为</w:t>
      </w:r>
      <w:r>
        <w:rPr>
          <w:rFonts w:hint="eastAsia" w:ascii="宋体" w:hAnsi="宋体"/>
          <w:color w:val="000000"/>
          <w:kern w:val="0"/>
          <w:sz w:val="24"/>
          <w:szCs w:val="24"/>
        </w:rPr>
        <w:t>83.13</w:t>
      </w:r>
      <w:r>
        <w:rPr>
          <w:rFonts w:ascii="宋体" w:hAnsi="宋体"/>
          <w:color w:val="000000"/>
          <w:kern w:val="0"/>
          <w:sz w:val="24"/>
          <w:szCs w:val="24"/>
        </w:rPr>
        <w:t>分，项目支出绩效评价结果为：良</w:t>
      </w:r>
      <w:r>
        <w:rPr>
          <w:rFonts w:hint="eastAsia" w:ascii="宋体" w:hAnsi="宋体"/>
          <w:color w:val="000000"/>
          <w:kern w:val="0"/>
          <w:sz w:val="24"/>
          <w:szCs w:val="24"/>
        </w:rPr>
        <w:t>。</w:t>
      </w:r>
      <w:r>
        <w:rPr>
          <w:rFonts w:ascii="宋体" w:hAnsi="宋体"/>
          <w:color w:val="000000"/>
          <w:kern w:val="0"/>
          <w:sz w:val="24"/>
          <w:szCs w:val="24"/>
        </w:rPr>
        <w:t>各项目得分及综合得分情况如下：</w:t>
      </w:r>
    </w:p>
    <w:tbl>
      <w:tblPr>
        <w:tblStyle w:val="5"/>
        <w:tblW w:w="8897"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817"/>
        <w:gridCol w:w="2456"/>
        <w:gridCol w:w="1083"/>
        <w:gridCol w:w="1848"/>
        <w:gridCol w:w="1559"/>
        <w:gridCol w:w="1134"/>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blHeader/>
        </w:trPr>
        <w:tc>
          <w:tcPr>
            <w:tcW w:w="817" w:type="dxa"/>
            <w:vAlign w:val="center"/>
          </w:tcPr>
          <w:p>
            <w:pPr>
              <w:spacing w:after="93" w:afterLines="30" w:line="500" w:lineRule="exact"/>
              <w:ind w:right="-6" w:rightChars="-3"/>
              <w:jc w:val="center"/>
              <w:rPr>
                <w:rFonts w:ascii="Arial Narrow" w:hAnsi="Arial Narrow"/>
                <w:szCs w:val="21"/>
              </w:rPr>
            </w:pPr>
            <w:r>
              <w:rPr>
                <w:rFonts w:ascii="Arial Narrow" w:hAnsi="Arial Narrow"/>
                <w:szCs w:val="21"/>
              </w:rPr>
              <w:t>序号</w:t>
            </w:r>
          </w:p>
        </w:tc>
        <w:tc>
          <w:tcPr>
            <w:tcW w:w="2456" w:type="dxa"/>
            <w:vAlign w:val="center"/>
          </w:tcPr>
          <w:p>
            <w:pPr>
              <w:spacing w:after="93" w:afterLines="30" w:line="500" w:lineRule="exact"/>
              <w:ind w:right="-6" w:rightChars="-3"/>
              <w:jc w:val="center"/>
              <w:rPr>
                <w:rFonts w:ascii="Arial Narrow" w:hAnsi="Arial Narrow"/>
                <w:szCs w:val="21"/>
              </w:rPr>
            </w:pPr>
            <w:r>
              <w:rPr>
                <w:rFonts w:ascii="Arial Narrow" w:hAnsi="Arial Narrow"/>
                <w:szCs w:val="21"/>
              </w:rPr>
              <w:t>项目名称</w:t>
            </w:r>
          </w:p>
        </w:tc>
        <w:tc>
          <w:tcPr>
            <w:tcW w:w="1083" w:type="dxa"/>
            <w:vAlign w:val="center"/>
          </w:tcPr>
          <w:p>
            <w:pPr>
              <w:spacing w:after="93" w:afterLines="30" w:line="500" w:lineRule="exact"/>
              <w:ind w:right="-6" w:rightChars="-3"/>
              <w:jc w:val="center"/>
              <w:rPr>
                <w:rFonts w:ascii="Arial Narrow" w:hAnsi="Arial Narrow"/>
                <w:szCs w:val="21"/>
              </w:rPr>
            </w:pPr>
            <w:r>
              <w:rPr>
                <w:rFonts w:ascii="Arial Narrow" w:hAnsi="Arial Narrow"/>
                <w:szCs w:val="21"/>
              </w:rPr>
              <w:t>得分</w:t>
            </w:r>
          </w:p>
        </w:tc>
        <w:tc>
          <w:tcPr>
            <w:tcW w:w="1848" w:type="dxa"/>
            <w:vAlign w:val="center"/>
          </w:tcPr>
          <w:p>
            <w:pPr>
              <w:spacing w:after="93" w:afterLines="30" w:line="500" w:lineRule="exact"/>
              <w:ind w:right="-6" w:rightChars="-3"/>
              <w:jc w:val="center"/>
              <w:rPr>
                <w:rFonts w:ascii="Arial Narrow" w:hAnsi="Arial Narrow"/>
                <w:szCs w:val="21"/>
              </w:rPr>
            </w:pPr>
            <w:r>
              <w:rPr>
                <w:rFonts w:ascii="Arial Narrow" w:hAnsi="Arial Narrow"/>
                <w:szCs w:val="21"/>
              </w:rPr>
              <w:t>项目预算</w:t>
            </w:r>
          </w:p>
        </w:tc>
        <w:tc>
          <w:tcPr>
            <w:tcW w:w="1559" w:type="dxa"/>
            <w:vAlign w:val="center"/>
          </w:tcPr>
          <w:p>
            <w:pPr>
              <w:spacing w:after="93" w:afterLines="30" w:line="500" w:lineRule="exact"/>
              <w:ind w:right="-6" w:rightChars="-3"/>
              <w:jc w:val="center"/>
              <w:rPr>
                <w:rFonts w:ascii="Arial Narrow" w:hAnsi="Arial Narrow"/>
                <w:szCs w:val="21"/>
              </w:rPr>
            </w:pPr>
            <w:r>
              <w:rPr>
                <w:rFonts w:ascii="Arial Narrow" w:hAnsi="Arial Narrow"/>
                <w:szCs w:val="21"/>
              </w:rPr>
              <w:t>占总预算比例</w:t>
            </w:r>
          </w:p>
        </w:tc>
        <w:tc>
          <w:tcPr>
            <w:tcW w:w="1134" w:type="dxa"/>
            <w:vAlign w:val="center"/>
          </w:tcPr>
          <w:p>
            <w:pPr>
              <w:spacing w:after="93" w:afterLines="30" w:line="500" w:lineRule="exact"/>
              <w:ind w:right="-6" w:rightChars="-3"/>
              <w:jc w:val="center"/>
              <w:rPr>
                <w:rFonts w:ascii="Arial Narrow" w:hAnsi="Arial Narrow"/>
                <w:szCs w:val="21"/>
              </w:rPr>
            </w:pPr>
            <w:r>
              <w:rPr>
                <w:rFonts w:ascii="Arial Narrow" w:hAnsi="Arial Narrow"/>
                <w:szCs w:val="21"/>
              </w:rPr>
              <w:t>加权得分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92"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1</w:t>
            </w:r>
          </w:p>
        </w:tc>
        <w:tc>
          <w:tcPr>
            <w:tcW w:w="2456" w:type="dxa"/>
            <w:vAlign w:val="center"/>
          </w:tcPr>
          <w:p>
            <w:pPr>
              <w:jc w:val="left"/>
              <w:rPr>
                <w:rFonts w:ascii="Arial Narrow" w:hAnsi="Arial Narrow" w:cs="宋体"/>
                <w:color w:val="000000"/>
                <w:szCs w:val="21"/>
              </w:rPr>
            </w:pPr>
            <w:r>
              <w:rPr>
                <w:rFonts w:ascii="Arial Narrow" w:hAnsi="Arial Narrow"/>
                <w:color w:val="000000"/>
                <w:szCs w:val="21"/>
              </w:rPr>
              <w:t>重大现实问题研究课题、区情调研</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84.50</w:t>
            </w:r>
          </w:p>
        </w:tc>
        <w:tc>
          <w:tcPr>
            <w:tcW w:w="1848" w:type="dxa"/>
            <w:vAlign w:val="center"/>
          </w:tcPr>
          <w:p>
            <w:pPr>
              <w:jc w:val="right"/>
              <w:rPr>
                <w:rFonts w:ascii="Arial Narrow" w:hAnsi="Arial Narrow" w:cs="Arial"/>
                <w:szCs w:val="21"/>
              </w:rPr>
            </w:pPr>
            <w:r>
              <w:rPr>
                <w:rFonts w:ascii="Arial Narrow" w:hAnsi="Arial Narrow" w:cs="Arial"/>
                <w:szCs w:val="21"/>
              </w:rPr>
              <w:t xml:space="preserve">800,000.00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32.60%</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27.55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2</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网络</w:t>
            </w:r>
            <w:r>
              <w:rPr>
                <w:rFonts w:ascii="Arial Narrow" w:hAnsi="Arial Narrow"/>
                <w:color w:val="000000"/>
                <w:szCs w:val="21"/>
              </w:rPr>
              <w:t>安全与信息化建设</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82.10</w:t>
            </w:r>
          </w:p>
        </w:tc>
        <w:tc>
          <w:tcPr>
            <w:tcW w:w="1848" w:type="dxa"/>
            <w:vAlign w:val="center"/>
          </w:tcPr>
          <w:p>
            <w:pPr>
              <w:jc w:val="right"/>
              <w:rPr>
                <w:rFonts w:ascii="Arial Narrow" w:hAnsi="Arial Narrow" w:cs="Arial"/>
                <w:szCs w:val="21"/>
              </w:rPr>
            </w:pPr>
            <w:r>
              <w:rPr>
                <w:rFonts w:ascii="Arial Narrow" w:hAnsi="Arial Narrow" w:cs="Arial"/>
                <w:szCs w:val="21"/>
              </w:rPr>
              <w:t xml:space="preserve">624,200.00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25.43%</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20.88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3</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人才</w:t>
            </w:r>
            <w:r>
              <w:rPr>
                <w:rFonts w:ascii="Arial Narrow" w:hAnsi="Arial Narrow"/>
                <w:color w:val="000000"/>
                <w:szCs w:val="21"/>
              </w:rPr>
              <w:t>培养</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85.</w:t>
            </w:r>
            <w:r>
              <w:rPr>
                <w:rFonts w:hint="eastAsia" w:ascii="Arial Narrow" w:hAnsi="Arial Narrow"/>
                <w:color w:val="000000"/>
                <w:szCs w:val="21"/>
              </w:rPr>
              <w:t>1</w:t>
            </w:r>
            <w:r>
              <w:rPr>
                <w:rFonts w:ascii="Arial Narrow" w:hAnsi="Arial Narrow"/>
                <w:color w:val="000000"/>
                <w:szCs w:val="21"/>
              </w:rPr>
              <w:t>0</w:t>
            </w:r>
          </w:p>
        </w:tc>
        <w:tc>
          <w:tcPr>
            <w:tcW w:w="1848" w:type="dxa"/>
            <w:vAlign w:val="center"/>
          </w:tcPr>
          <w:p>
            <w:pPr>
              <w:jc w:val="right"/>
              <w:rPr>
                <w:rFonts w:ascii="Arial Narrow" w:hAnsi="Arial Narrow" w:cs="Arial"/>
                <w:szCs w:val="21"/>
              </w:rPr>
            </w:pPr>
            <w:r>
              <w:rPr>
                <w:rFonts w:ascii="Arial Narrow" w:hAnsi="Arial Narrow" w:cs="Arial"/>
                <w:szCs w:val="21"/>
              </w:rPr>
              <w:t xml:space="preserve">330,000.00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13.45%</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11.</w:t>
            </w:r>
            <w:r>
              <w:rPr>
                <w:rFonts w:hint="eastAsia" w:ascii="Arial Narrow" w:hAnsi="Arial Narrow"/>
                <w:color w:val="000000"/>
                <w:szCs w:val="21"/>
              </w:rPr>
              <w:t>45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36"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4</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馆藏古籍数字化及版本鉴定</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76.50</w:t>
            </w:r>
          </w:p>
        </w:tc>
        <w:tc>
          <w:tcPr>
            <w:tcW w:w="1848" w:type="dxa"/>
            <w:vAlign w:val="center"/>
          </w:tcPr>
          <w:p>
            <w:pPr>
              <w:jc w:val="right"/>
              <w:rPr>
                <w:rFonts w:ascii="Arial Narrow" w:hAnsi="Arial Narrow" w:cs="Arial"/>
                <w:szCs w:val="21"/>
              </w:rPr>
            </w:pPr>
            <w:r>
              <w:rPr>
                <w:rFonts w:ascii="Arial Narrow" w:hAnsi="Arial Narrow" w:cs="Arial"/>
                <w:szCs w:val="21"/>
              </w:rPr>
              <w:t xml:space="preserve">300,000.00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12.22%</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9.35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63"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5</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古籍</w:t>
            </w:r>
            <w:r>
              <w:rPr>
                <w:rFonts w:ascii="Arial Narrow" w:hAnsi="Arial Narrow"/>
                <w:color w:val="000000"/>
                <w:szCs w:val="21"/>
              </w:rPr>
              <w:t>善本第一阶段保护性数字扫描</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83.00</w:t>
            </w:r>
          </w:p>
        </w:tc>
        <w:tc>
          <w:tcPr>
            <w:tcW w:w="1848" w:type="dxa"/>
            <w:vAlign w:val="center"/>
          </w:tcPr>
          <w:p>
            <w:pPr>
              <w:jc w:val="right"/>
              <w:rPr>
                <w:rFonts w:ascii="Arial Narrow" w:hAnsi="Arial Narrow" w:cs="Arial"/>
                <w:szCs w:val="21"/>
              </w:rPr>
            </w:pPr>
            <w:r>
              <w:rPr>
                <w:rFonts w:ascii="Arial Narrow" w:hAnsi="Arial Narrow" w:cs="Arial"/>
                <w:szCs w:val="21"/>
              </w:rPr>
              <w:t xml:space="preserve">100,000.00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4.07%</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3.38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6</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经济学</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83.50</w:t>
            </w:r>
          </w:p>
        </w:tc>
        <w:tc>
          <w:tcPr>
            <w:tcW w:w="1848" w:type="dxa"/>
            <w:vAlign w:val="center"/>
          </w:tcPr>
          <w:p>
            <w:pPr>
              <w:jc w:val="right"/>
              <w:rPr>
                <w:rFonts w:ascii="Arial Narrow" w:hAnsi="Arial Narrow" w:cs="Arial"/>
                <w:szCs w:val="21"/>
              </w:rPr>
            </w:pPr>
            <w:r>
              <w:rPr>
                <w:rFonts w:ascii="Arial Narrow" w:hAnsi="Arial Narrow" w:cs="Arial"/>
                <w:szCs w:val="21"/>
              </w:rPr>
              <w:t xml:space="preserve">25,000.00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1.02%</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0.85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7</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生态文明学学科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85.50</w:t>
            </w:r>
          </w:p>
        </w:tc>
        <w:tc>
          <w:tcPr>
            <w:tcW w:w="1848" w:type="dxa"/>
            <w:vAlign w:val="center"/>
          </w:tcPr>
          <w:p>
            <w:pPr>
              <w:jc w:val="right"/>
              <w:rPr>
                <w:rFonts w:ascii="Arial Narrow" w:hAnsi="Arial Narrow" w:cs="Arial"/>
                <w:szCs w:val="21"/>
              </w:rPr>
            </w:pPr>
            <w:r>
              <w:rPr>
                <w:rFonts w:ascii="Arial Narrow" w:hAnsi="Arial Narrow" w:cs="Arial"/>
                <w:szCs w:val="21"/>
              </w:rPr>
              <w:t xml:space="preserve">40,000.00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1.63%</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1.39</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8</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政法学</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82.00</w:t>
            </w:r>
          </w:p>
        </w:tc>
        <w:tc>
          <w:tcPr>
            <w:tcW w:w="1848" w:type="dxa"/>
            <w:vAlign w:val="center"/>
          </w:tcPr>
          <w:p>
            <w:pPr>
              <w:jc w:val="right"/>
              <w:rPr>
                <w:rFonts w:ascii="Arial Narrow" w:hAnsi="Arial Narrow" w:cs="Arial"/>
                <w:szCs w:val="21"/>
              </w:rPr>
            </w:pPr>
            <w:r>
              <w:rPr>
                <w:rFonts w:ascii="Arial Narrow" w:hAnsi="Arial Narrow" w:cs="Arial"/>
                <w:szCs w:val="21"/>
              </w:rPr>
              <w:t xml:space="preserve">23,280.00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0.95%</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0.78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9</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社会学</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85.00</w:t>
            </w:r>
          </w:p>
        </w:tc>
        <w:tc>
          <w:tcPr>
            <w:tcW w:w="1848" w:type="dxa"/>
            <w:vAlign w:val="center"/>
          </w:tcPr>
          <w:p>
            <w:pPr>
              <w:jc w:val="right"/>
              <w:rPr>
                <w:rFonts w:ascii="Arial Narrow" w:hAnsi="Arial Narrow" w:cs="Arial"/>
                <w:szCs w:val="21"/>
              </w:rPr>
            </w:pPr>
            <w:r>
              <w:rPr>
                <w:rFonts w:ascii="Arial Narrow" w:hAnsi="Arial Narrow" w:cs="Arial"/>
                <w:szCs w:val="21"/>
              </w:rPr>
              <w:t xml:space="preserve">26,849.68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1.09%</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0.93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10</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文化学</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84.00</w:t>
            </w:r>
          </w:p>
        </w:tc>
        <w:tc>
          <w:tcPr>
            <w:tcW w:w="1848" w:type="dxa"/>
            <w:vAlign w:val="center"/>
          </w:tcPr>
          <w:p>
            <w:pPr>
              <w:jc w:val="right"/>
              <w:rPr>
                <w:rFonts w:ascii="Arial Narrow" w:hAnsi="Arial Narrow" w:cs="Arial"/>
                <w:szCs w:val="21"/>
              </w:rPr>
            </w:pPr>
            <w:r>
              <w:rPr>
                <w:rFonts w:ascii="Arial Narrow" w:hAnsi="Arial Narrow" w:cs="Arial"/>
                <w:szCs w:val="21"/>
              </w:rPr>
              <w:t xml:space="preserve">40,000.00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1.64%</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1.38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11</w:t>
            </w:r>
          </w:p>
        </w:tc>
        <w:tc>
          <w:tcPr>
            <w:tcW w:w="2456" w:type="dxa"/>
            <w:vAlign w:val="center"/>
          </w:tcPr>
          <w:p>
            <w:pPr>
              <w:jc w:val="left"/>
              <w:rPr>
                <w:rFonts w:ascii="Arial Narrow" w:hAnsi="Arial Narrow"/>
                <w:color w:val="000000"/>
                <w:szCs w:val="21"/>
              </w:rPr>
            </w:pPr>
            <w:r>
              <w:rPr>
                <w:rFonts w:hint="eastAsia" w:ascii="Arial Narrow" w:hAnsi="Arial Narrow"/>
                <w:color w:val="000000"/>
                <w:szCs w:val="21"/>
              </w:rPr>
              <w:t>民</w:t>
            </w:r>
          </w:p>
          <w:p>
            <w:pPr>
              <w:jc w:val="left"/>
              <w:rPr>
                <w:rFonts w:ascii="Arial Narrow" w:hAnsi="Arial Narrow" w:cs="宋体"/>
                <w:color w:val="000000"/>
                <w:szCs w:val="21"/>
              </w:rPr>
            </w:pPr>
            <w:r>
              <w:rPr>
                <w:rFonts w:hint="eastAsia" w:ascii="Arial Narrow" w:hAnsi="Arial Narrow"/>
                <w:color w:val="000000"/>
                <w:szCs w:val="21"/>
              </w:rPr>
              <w:t>族学</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88.50</w:t>
            </w:r>
          </w:p>
        </w:tc>
        <w:tc>
          <w:tcPr>
            <w:tcW w:w="1848" w:type="dxa"/>
            <w:vAlign w:val="center"/>
          </w:tcPr>
          <w:p>
            <w:pPr>
              <w:jc w:val="right"/>
              <w:rPr>
                <w:rFonts w:ascii="Arial Narrow" w:hAnsi="Arial Narrow" w:cs="Arial"/>
                <w:szCs w:val="21"/>
              </w:rPr>
            </w:pPr>
            <w:r>
              <w:rPr>
                <w:rFonts w:ascii="Arial Narrow" w:hAnsi="Arial Narrow" w:cs="Arial"/>
                <w:szCs w:val="21"/>
              </w:rPr>
              <w:t xml:space="preserve">50,000.00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2.04%</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1.81</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12</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西夏学</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88.20</w:t>
            </w:r>
          </w:p>
        </w:tc>
        <w:tc>
          <w:tcPr>
            <w:tcW w:w="1848" w:type="dxa"/>
            <w:vAlign w:val="center"/>
          </w:tcPr>
          <w:p>
            <w:pPr>
              <w:jc w:val="right"/>
              <w:rPr>
                <w:rFonts w:ascii="Arial Narrow" w:hAnsi="Arial Narrow" w:cs="Arial"/>
                <w:szCs w:val="21"/>
              </w:rPr>
            </w:pPr>
            <w:r>
              <w:rPr>
                <w:rFonts w:ascii="Arial Narrow" w:hAnsi="Arial Narrow" w:cs="Arial"/>
                <w:szCs w:val="21"/>
              </w:rPr>
              <w:t xml:space="preserve">50,000.00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2.04%</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1.80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13</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地方历史文化</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88.00</w:t>
            </w:r>
          </w:p>
        </w:tc>
        <w:tc>
          <w:tcPr>
            <w:tcW w:w="1848" w:type="dxa"/>
            <w:vAlign w:val="center"/>
          </w:tcPr>
          <w:p>
            <w:pPr>
              <w:jc w:val="right"/>
              <w:rPr>
                <w:rFonts w:ascii="Arial Narrow" w:hAnsi="Arial Narrow" w:cs="Arial"/>
                <w:szCs w:val="21"/>
              </w:rPr>
            </w:pPr>
            <w:r>
              <w:rPr>
                <w:rFonts w:ascii="Arial Narrow" w:hAnsi="Arial Narrow" w:cs="Arial"/>
                <w:szCs w:val="21"/>
              </w:rPr>
              <w:t xml:space="preserve">30,000.00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1.22%</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1.07</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jc w:val="center"/>
              <w:rPr>
                <w:rFonts w:ascii="Arial Narrow" w:hAnsi="Arial Narrow" w:cs="宋体"/>
                <w:color w:val="000000"/>
                <w:szCs w:val="21"/>
              </w:rPr>
            </w:pPr>
            <w:r>
              <w:rPr>
                <w:rFonts w:ascii="Arial Narrow" w:hAnsi="Arial Narrow"/>
                <w:color w:val="000000"/>
                <w:szCs w:val="21"/>
              </w:rPr>
              <w:t>14</w:t>
            </w:r>
          </w:p>
        </w:tc>
        <w:tc>
          <w:tcPr>
            <w:tcW w:w="2456" w:type="dxa"/>
            <w:vAlign w:val="center"/>
          </w:tcPr>
          <w:p>
            <w:pPr>
              <w:jc w:val="left"/>
              <w:rPr>
                <w:rFonts w:ascii="Arial Narrow" w:hAnsi="Arial Narrow" w:cs="宋体"/>
                <w:color w:val="000000"/>
                <w:szCs w:val="21"/>
              </w:rPr>
            </w:pPr>
            <w:r>
              <w:rPr>
                <w:rFonts w:hint="eastAsia" w:ascii="Arial Narrow" w:hAnsi="Arial Narrow"/>
                <w:color w:val="000000"/>
                <w:szCs w:val="21"/>
              </w:rPr>
              <w:t>民族文献</w:t>
            </w:r>
            <w:r>
              <w:rPr>
                <w:rFonts w:ascii="Arial Narrow" w:hAnsi="Arial Narrow"/>
                <w:color w:val="000000"/>
                <w:szCs w:val="21"/>
              </w:rPr>
              <w:t>学科</w:t>
            </w:r>
          </w:p>
        </w:tc>
        <w:tc>
          <w:tcPr>
            <w:tcW w:w="1083" w:type="dxa"/>
            <w:vAlign w:val="center"/>
          </w:tcPr>
          <w:p>
            <w:pPr>
              <w:jc w:val="right"/>
              <w:rPr>
                <w:rFonts w:ascii="Arial Narrow" w:hAnsi="Arial Narrow" w:cs="宋体"/>
                <w:color w:val="000000"/>
                <w:szCs w:val="21"/>
              </w:rPr>
            </w:pPr>
            <w:r>
              <w:rPr>
                <w:rFonts w:ascii="Arial Narrow" w:hAnsi="Arial Narrow"/>
                <w:color w:val="000000"/>
                <w:szCs w:val="21"/>
              </w:rPr>
              <w:t>84.50</w:t>
            </w:r>
          </w:p>
        </w:tc>
        <w:tc>
          <w:tcPr>
            <w:tcW w:w="1848" w:type="dxa"/>
            <w:vAlign w:val="center"/>
          </w:tcPr>
          <w:p>
            <w:pPr>
              <w:jc w:val="right"/>
              <w:rPr>
                <w:rFonts w:ascii="Arial Narrow" w:hAnsi="Arial Narrow" w:cs="Arial"/>
                <w:szCs w:val="21"/>
              </w:rPr>
            </w:pPr>
            <w:r>
              <w:rPr>
                <w:rFonts w:ascii="Arial Narrow" w:hAnsi="Arial Narrow" w:cs="Arial"/>
                <w:szCs w:val="21"/>
              </w:rPr>
              <w:t xml:space="preserve">15,000.00 </w:t>
            </w:r>
          </w:p>
        </w:tc>
        <w:tc>
          <w:tcPr>
            <w:tcW w:w="1559" w:type="dxa"/>
            <w:vAlign w:val="center"/>
          </w:tcPr>
          <w:p>
            <w:pPr>
              <w:jc w:val="right"/>
              <w:rPr>
                <w:rFonts w:ascii="Arial Narrow" w:hAnsi="Arial Narrow" w:cs="宋体"/>
                <w:color w:val="000000"/>
                <w:szCs w:val="21"/>
              </w:rPr>
            </w:pPr>
            <w:r>
              <w:rPr>
                <w:rFonts w:ascii="Arial Narrow" w:hAnsi="Arial Narrow"/>
                <w:color w:val="000000"/>
                <w:szCs w:val="21"/>
              </w:rPr>
              <w:t>0.60%</w:t>
            </w:r>
          </w:p>
        </w:tc>
        <w:tc>
          <w:tcPr>
            <w:tcW w:w="1134" w:type="dxa"/>
            <w:vAlign w:val="center"/>
          </w:tcPr>
          <w:p>
            <w:pPr>
              <w:jc w:val="right"/>
              <w:rPr>
                <w:rFonts w:ascii="Arial Narrow" w:hAnsi="Arial Narrow" w:cs="宋体"/>
                <w:color w:val="000000"/>
                <w:szCs w:val="21"/>
              </w:rPr>
            </w:pPr>
            <w:r>
              <w:rPr>
                <w:rFonts w:ascii="Arial Narrow" w:hAnsi="Arial Narrow"/>
                <w:color w:val="000000"/>
                <w:szCs w:val="21"/>
              </w:rPr>
              <w:t>0.51</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exact"/>
        </w:trPr>
        <w:tc>
          <w:tcPr>
            <w:tcW w:w="817" w:type="dxa"/>
            <w:vAlign w:val="center"/>
          </w:tcPr>
          <w:p>
            <w:pPr>
              <w:spacing w:after="93" w:afterLines="30" w:line="500" w:lineRule="exact"/>
              <w:ind w:right="-6" w:rightChars="-3"/>
              <w:jc w:val="right"/>
              <w:rPr>
                <w:rFonts w:ascii="Arial Narrow" w:hAnsi="Arial Narrow"/>
                <w:szCs w:val="21"/>
              </w:rPr>
            </w:pPr>
          </w:p>
        </w:tc>
        <w:tc>
          <w:tcPr>
            <w:tcW w:w="2456" w:type="dxa"/>
            <w:vAlign w:val="center"/>
          </w:tcPr>
          <w:p>
            <w:pPr>
              <w:jc w:val="center"/>
              <w:rPr>
                <w:rFonts w:ascii="Arial Narrow" w:hAnsi="Arial Narrow"/>
                <w:b/>
                <w:szCs w:val="21"/>
              </w:rPr>
            </w:pPr>
            <w:r>
              <w:rPr>
                <w:rFonts w:ascii="Arial Narrow" w:hAnsi="Arial Narrow"/>
                <w:b/>
                <w:color w:val="000000"/>
                <w:szCs w:val="21"/>
              </w:rPr>
              <w:t>合计</w:t>
            </w:r>
          </w:p>
        </w:tc>
        <w:tc>
          <w:tcPr>
            <w:tcW w:w="1083" w:type="dxa"/>
            <w:vAlign w:val="center"/>
          </w:tcPr>
          <w:p>
            <w:pPr>
              <w:spacing w:after="93" w:afterLines="30" w:line="500" w:lineRule="exact"/>
              <w:ind w:right="-6" w:rightChars="-3"/>
              <w:jc w:val="right"/>
              <w:rPr>
                <w:rFonts w:ascii="Arial Narrow" w:hAnsi="Arial Narrow"/>
                <w:szCs w:val="21"/>
              </w:rPr>
            </w:pPr>
          </w:p>
        </w:tc>
        <w:tc>
          <w:tcPr>
            <w:tcW w:w="1848" w:type="dxa"/>
            <w:vAlign w:val="center"/>
          </w:tcPr>
          <w:p>
            <w:pPr>
              <w:jc w:val="right"/>
              <w:rPr>
                <w:rFonts w:ascii="Arial Narrow" w:hAnsi="Arial Narrow" w:cs="Arial"/>
                <w:b/>
                <w:szCs w:val="21"/>
              </w:rPr>
            </w:pPr>
            <w:r>
              <w:rPr>
                <w:rFonts w:ascii="Arial Narrow" w:hAnsi="Arial Narrow" w:cs="Arial"/>
                <w:b/>
                <w:szCs w:val="21"/>
              </w:rPr>
              <w:t>2,454,329.68</w:t>
            </w:r>
          </w:p>
        </w:tc>
        <w:tc>
          <w:tcPr>
            <w:tcW w:w="1559" w:type="dxa"/>
            <w:vAlign w:val="center"/>
          </w:tcPr>
          <w:p>
            <w:pPr>
              <w:jc w:val="right"/>
              <w:rPr>
                <w:rFonts w:ascii="Arial Narrow" w:hAnsi="Arial Narrow" w:cs="宋体"/>
                <w:b/>
                <w:bCs/>
                <w:color w:val="000000"/>
                <w:szCs w:val="21"/>
              </w:rPr>
            </w:pPr>
            <w:r>
              <w:rPr>
                <w:rFonts w:ascii="Arial Narrow" w:hAnsi="Arial Narrow"/>
                <w:b/>
                <w:bCs/>
                <w:color w:val="000000"/>
                <w:szCs w:val="21"/>
              </w:rPr>
              <w:t>100.00%</w:t>
            </w:r>
          </w:p>
        </w:tc>
        <w:tc>
          <w:tcPr>
            <w:tcW w:w="1134" w:type="dxa"/>
            <w:vAlign w:val="center"/>
          </w:tcPr>
          <w:p>
            <w:pPr>
              <w:jc w:val="right"/>
              <w:rPr>
                <w:rFonts w:ascii="Arial Narrow" w:hAnsi="Arial Narrow" w:cs="宋体"/>
                <w:b/>
                <w:bCs/>
                <w:color w:val="000000"/>
                <w:szCs w:val="21"/>
              </w:rPr>
            </w:pPr>
            <w:r>
              <w:rPr>
                <w:rFonts w:ascii="Arial Narrow" w:hAnsi="Arial Narrow"/>
                <w:b/>
                <w:bCs/>
                <w:color w:val="000000"/>
                <w:szCs w:val="21"/>
              </w:rPr>
              <w:t>83.1</w:t>
            </w:r>
            <w:r>
              <w:rPr>
                <w:rFonts w:hint="eastAsia" w:ascii="Arial Narrow" w:hAnsi="Arial Narrow"/>
                <w:b/>
                <w:bCs/>
                <w:color w:val="000000"/>
                <w:szCs w:val="21"/>
              </w:rPr>
              <w:t>3</w:t>
            </w:r>
          </w:p>
        </w:tc>
      </w:tr>
    </w:tbl>
    <w:p>
      <w:pPr>
        <w:spacing w:line="360" w:lineRule="auto"/>
        <w:rPr>
          <w:rFonts w:ascii="宋体" w:hAnsi="宋体"/>
          <w:color w:val="000000"/>
          <w:kern w:val="0"/>
          <w:sz w:val="24"/>
          <w:szCs w:val="24"/>
        </w:rPr>
      </w:pPr>
    </w:p>
    <w:p>
      <w:pPr>
        <w:spacing w:line="360" w:lineRule="auto"/>
        <w:ind w:firstLine="602" w:firstLineChars="250"/>
        <w:rPr>
          <w:rFonts w:ascii="宋体" w:hAnsi="宋体"/>
          <w:b/>
          <w:color w:val="000000"/>
          <w:kern w:val="0"/>
          <w:sz w:val="24"/>
          <w:szCs w:val="24"/>
        </w:rPr>
      </w:pPr>
      <w:r>
        <w:rPr>
          <w:rFonts w:hint="eastAsia" w:ascii="宋体" w:hAnsi="宋体"/>
          <w:b/>
          <w:color w:val="000000"/>
          <w:kern w:val="0"/>
          <w:sz w:val="24"/>
          <w:szCs w:val="24"/>
        </w:rPr>
        <w:t>二、重点项目绩效评价情况</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（一）项目绩效情况分析</w:t>
      </w:r>
    </w:p>
    <w:p>
      <w:pPr>
        <w:spacing w:after="93" w:afterLines="30" w:line="500" w:lineRule="exact"/>
        <w:ind w:right="-6" w:rightChars="-3" w:firstLine="480" w:firstLineChars="200"/>
        <w:rPr>
          <w:rFonts w:ascii="宋体" w:hAnsi="宋体"/>
          <w:sz w:val="24"/>
        </w:rPr>
      </w:pPr>
      <w:r>
        <w:rPr>
          <w:rFonts w:hint="eastAsia" w:ascii="宋体" w:hAnsi="宋体"/>
          <w:sz w:val="24"/>
        </w:rPr>
        <w:t>1．项目产出</w:t>
      </w:r>
    </w:p>
    <w:p>
      <w:pPr>
        <w:spacing w:after="93" w:afterLines="30" w:line="500" w:lineRule="exact"/>
        <w:ind w:right="-6" w:rightChars="-3" w:firstLine="465"/>
        <w:rPr>
          <w:rFonts w:ascii="Arial Narrow" w:hAnsi="Arial Narrow" w:cs="Arial"/>
          <w:sz w:val="24"/>
        </w:rPr>
      </w:pPr>
      <w:r>
        <w:rPr>
          <w:rFonts w:ascii="Arial Narrow" w:hAnsi="Arial Narrow" w:cs="Arial"/>
          <w:sz w:val="24"/>
        </w:rPr>
        <w:t>（1）</w:t>
      </w:r>
      <w:r>
        <w:rPr>
          <w:rFonts w:ascii="Arial Narrow" w:hAnsi="Arial Narrow"/>
          <w:sz w:val="24"/>
        </w:rPr>
        <w:t>重大现实问题研究课题</w:t>
      </w:r>
      <w:r>
        <w:rPr>
          <w:rFonts w:hint="eastAsia" w:ascii="Arial Narrow" w:hAnsi="Arial Narrow"/>
          <w:sz w:val="24"/>
        </w:rPr>
        <w:t>、</w:t>
      </w:r>
      <w:r>
        <w:rPr>
          <w:rFonts w:ascii="Arial Narrow" w:hAnsi="Arial Narrow"/>
          <w:sz w:val="24"/>
        </w:rPr>
        <w:t>区情调研</w:t>
      </w:r>
    </w:p>
    <w:p>
      <w:pPr>
        <w:spacing w:after="93" w:afterLines="30" w:line="500" w:lineRule="exact"/>
        <w:ind w:right="-6" w:rightChars="-3" w:firstLine="465"/>
        <w:rPr>
          <w:rFonts w:ascii="Arial Narrow" w:hAnsi="Arial Narrow"/>
          <w:sz w:val="24"/>
        </w:rPr>
      </w:pPr>
      <w:r>
        <w:rPr>
          <w:rFonts w:hint="eastAsia" w:ascii="Arial Narrow" w:hAnsi="Arial Narrow"/>
          <w:sz w:val="24"/>
        </w:rPr>
        <w:t>2021年度</w:t>
      </w:r>
      <w:r>
        <w:rPr>
          <w:rFonts w:ascii="Arial Narrow" w:hAnsi="Arial Narrow"/>
          <w:sz w:val="24"/>
        </w:rPr>
        <w:t>重大现实问题研究课题</w:t>
      </w:r>
      <w:r>
        <w:rPr>
          <w:rFonts w:hint="eastAsia" w:ascii="Arial Narrow" w:hAnsi="Arial Narrow"/>
          <w:sz w:val="24"/>
        </w:rPr>
        <w:t>、</w:t>
      </w:r>
      <w:r>
        <w:rPr>
          <w:rFonts w:ascii="Arial Narrow" w:hAnsi="Arial Narrow"/>
          <w:sz w:val="24"/>
        </w:rPr>
        <w:t>区情调研项目</w:t>
      </w:r>
      <w:r>
        <w:rPr>
          <w:rFonts w:hint="eastAsia" w:ascii="Arial Narrow" w:hAnsi="Arial Narrow"/>
          <w:sz w:val="24"/>
        </w:rPr>
        <w:t>共</w:t>
      </w:r>
      <w:r>
        <w:rPr>
          <w:rFonts w:ascii="Arial Narrow" w:hAnsi="Arial Narrow"/>
          <w:sz w:val="24"/>
        </w:rPr>
        <w:t>开展了一批</w:t>
      </w:r>
      <w:r>
        <w:rPr>
          <w:rFonts w:hint="eastAsia" w:ascii="Arial Narrow" w:hAnsi="Arial Narrow"/>
          <w:sz w:val="24"/>
        </w:rPr>
        <w:t>，总计24项重大现实问题研究课题，其中21</w:t>
      </w:r>
      <w:r>
        <w:rPr>
          <w:rFonts w:ascii="Arial Narrow" w:hAnsi="Arial Narrow"/>
          <w:sz w:val="24"/>
        </w:rPr>
        <w:t>项课题</w:t>
      </w:r>
      <w:r>
        <w:rPr>
          <w:rFonts w:hint="eastAsia" w:ascii="Arial Narrow" w:hAnsi="Arial Narrow"/>
          <w:sz w:val="24"/>
        </w:rPr>
        <w:t>于2022年2月</w:t>
      </w:r>
      <w:r>
        <w:rPr>
          <w:rFonts w:ascii="Arial Narrow" w:hAnsi="Arial Narrow"/>
          <w:sz w:val="24"/>
        </w:rPr>
        <w:t>完成结项</w:t>
      </w:r>
      <w:r>
        <w:rPr>
          <w:rFonts w:hint="eastAsia" w:ascii="Arial Narrow" w:hAnsi="Arial Narrow"/>
          <w:sz w:val="24"/>
        </w:rPr>
        <w:t>，3</w:t>
      </w:r>
      <w:r>
        <w:rPr>
          <w:rFonts w:ascii="Arial Narrow" w:hAnsi="Arial Narrow"/>
          <w:sz w:val="24"/>
        </w:rPr>
        <w:t>项课题于</w:t>
      </w:r>
      <w:r>
        <w:rPr>
          <w:rFonts w:hint="eastAsia" w:ascii="Arial Narrow" w:hAnsi="Arial Narrow"/>
          <w:sz w:val="24"/>
        </w:rPr>
        <w:t>2022年3月完成结项。</w:t>
      </w:r>
    </w:p>
    <w:p>
      <w:pPr>
        <w:spacing w:after="93" w:afterLines="30" w:line="500" w:lineRule="exact"/>
        <w:ind w:right="-6" w:rightChars="-3" w:firstLine="465"/>
        <w:rPr>
          <w:rFonts w:ascii="Arial Narrow" w:hAnsi="Arial Narrow"/>
          <w:sz w:val="24"/>
        </w:rPr>
      </w:pPr>
      <w:r>
        <w:rPr>
          <w:rFonts w:hint="eastAsia" w:ascii="Arial Narrow" w:hAnsi="Arial Narrow"/>
          <w:sz w:val="24"/>
        </w:rPr>
        <w:t>（2）网络安全与信息化建设</w:t>
      </w:r>
    </w:p>
    <w:p>
      <w:pPr>
        <w:spacing w:after="93" w:afterLines="30" w:line="500" w:lineRule="exact"/>
        <w:ind w:right="-6" w:rightChars="-3" w:firstLine="465"/>
        <w:rPr>
          <w:rFonts w:ascii="Arial Narrow" w:hAnsi="Arial Narrow"/>
          <w:sz w:val="24"/>
        </w:rPr>
      </w:pPr>
      <w:r>
        <w:rPr>
          <w:rFonts w:hint="eastAsia" w:ascii="Arial Narrow" w:hAnsi="Arial Narrow"/>
          <w:sz w:val="24"/>
        </w:rPr>
        <w:t>完成宁夏社会科学网建设迁移工作，此项目对宁夏社会科学院官网进行了重新设计制作，并将数据存储迁移至宁夏政务云，与全区其他政府网站使用同一后台稿件发布系统；数据资源采购，包含Worldlib文献数据资源、中国知网数据库、读秀知识库、维普数据库，均为1年数据库使用服务费；上网行为管理器更换。</w:t>
      </w:r>
    </w:p>
    <w:p>
      <w:pPr>
        <w:spacing w:after="93" w:afterLines="30" w:line="500" w:lineRule="exact"/>
        <w:ind w:right="-6" w:rightChars="-3" w:firstLine="465"/>
        <w:rPr>
          <w:rFonts w:ascii="Arial Narrow" w:hAnsi="Arial Narrow"/>
          <w:sz w:val="24"/>
        </w:rPr>
      </w:pPr>
      <w:r>
        <w:rPr>
          <w:rFonts w:hint="eastAsia" w:ascii="Arial Narrow" w:hAnsi="Arial Narrow"/>
          <w:sz w:val="24"/>
        </w:rPr>
        <w:t>（3）人才培养</w:t>
      </w:r>
    </w:p>
    <w:p>
      <w:pPr>
        <w:spacing w:after="93" w:afterLines="30" w:line="500" w:lineRule="exact"/>
        <w:ind w:right="-6" w:rightChars="-3" w:firstLine="465"/>
        <w:rPr>
          <w:rFonts w:ascii="Arial Narrow" w:hAnsi="Arial Narrow"/>
          <w:sz w:val="24"/>
        </w:rPr>
      </w:pPr>
      <w:r>
        <w:rPr>
          <w:rFonts w:hint="eastAsia" w:ascii="Arial Narrow" w:hAnsi="Arial Narrow"/>
          <w:sz w:val="24"/>
        </w:rPr>
        <w:t>2021年6月公开发布招聘公告，组织报名、资格审核、笔试、面试等工作，2021年12月完成拟录用人员公示，最终完成6名硕士研究生公开招录；支付博士安家费1人次，报销在职人员攻读硕、博士学费6人次。</w:t>
      </w:r>
    </w:p>
    <w:p>
      <w:pPr>
        <w:spacing w:after="93" w:afterLines="30" w:line="500" w:lineRule="exact"/>
        <w:ind w:right="-6" w:rightChars="-3" w:firstLine="465"/>
        <w:rPr>
          <w:rFonts w:ascii="Arial Narrow" w:hAnsi="Arial Narrow"/>
          <w:sz w:val="24"/>
        </w:rPr>
      </w:pPr>
      <w:r>
        <w:drawing>
          <wp:anchor distT="0" distB="0" distL="114300" distR="114300" simplePos="0" relativeHeight="251655168" behindDoc="0" locked="0" layoutInCell="1" allowOverlap="1">
            <wp:simplePos x="0" y="0"/>
            <wp:positionH relativeFrom="column">
              <wp:posOffset>24765</wp:posOffset>
            </wp:positionH>
            <wp:positionV relativeFrom="paragraph">
              <wp:posOffset>164465</wp:posOffset>
            </wp:positionV>
            <wp:extent cx="5486400" cy="3032760"/>
            <wp:effectExtent l="0" t="0" r="0" b="0"/>
            <wp:wrapNone/>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noChangeArrowheads="true"/>
                    </pic:cNvPicPr>
                  </pic:nvPicPr>
                  <pic:blipFill>
                    <a:blip r:embed="rId4">
                      <a:extLst>
                        <a:ext uri="{28A0092B-C50C-407E-A947-70E740481C1C}">
                          <a14:useLocalDpi xmlns:a14="http://schemas.microsoft.com/office/drawing/2010/main" val="false"/>
                        </a:ext>
                      </a:extLst>
                    </a:blip>
                    <a:srcRect/>
                    <a:stretch>
                      <a:fillRect/>
                    </a:stretch>
                  </pic:blipFill>
                  <pic:spPr>
                    <a:xfrm>
                      <a:off x="0" y="0"/>
                      <a:ext cx="5486400" cy="3032760"/>
                    </a:xfrm>
                    <a:prstGeom prst="rect">
                      <a:avLst/>
                    </a:prstGeom>
                    <a:noFill/>
                    <a:ln>
                      <a:noFill/>
                    </a:ln>
                  </pic:spPr>
                </pic:pic>
              </a:graphicData>
            </a:graphic>
          </wp:anchor>
        </w:drawing>
      </w: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pPr>
    </w:p>
    <w:p>
      <w:pPr>
        <w:spacing w:after="93" w:afterLines="30" w:line="500" w:lineRule="exact"/>
        <w:ind w:right="-6" w:rightChars="-3" w:firstLine="465"/>
      </w:pPr>
    </w:p>
    <w:p>
      <w:pPr>
        <w:spacing w:after="93" w:afterLines="30" w:line="500" w:lineRule="exact"/>
        <w:ind w:right="-6" w:rightChars="-3" w:firstLine="465"/>
      </w:pPr>
    </w:p>
    <w:p>
      <w:pPr>
        <w:spacing w:line="280" w:lineRule="exact"/>
        <w:ind w:right="-6" w:rightChars="-3"/>
        <w:rPr>
          <w:rFonts w:ascii="Arial Narrow" w:hAnsi="Arial Narrow"/>
          <w:sz w:val="24"/>
        </w:rPr>
      </w:pPr>
    </w:p>
    <w:p>
      <w:pPr>
        <w:jc w:val="center"/>
        <w:rPr>
          <w:rFonts w:ascii="华文楷体" w:hAnsi="华文楷体" w:eastAsia="华文楷体"/>
          <w:sz w:val="24"/>
        </w:rPr>
      </w:pPr>
      <w:r>
        <w:rPr>
          <w:rFonts w:ascii="华文楷体" w:hAnsi="华文楷体" w:eastAsia="华文楷体"/>
          <w:sz w:val="24"/>
        </w:rPr>
        <w:t>图1：自主公开招聘笔试现场</w:t>
      </w:r>
    </w:p>
    <w:p>
      <w:pPr>
        <w:spacing w:after="93" w:afterLines="30" w:line="500" w:lineRule="exact"/>
        <w:ind w:right="-6" w:rightChars="-3" w:firstLine="465"/>
        <w:rPr>
          <w:rFonts w:ascii="Arial Narrow" w:hAnsi="Arial Narrow"/>
          <w:sz w:val="24"/>
        </w:rPr>
      </w:pPr>
      <w:r>
        <w:rPr>
          <w:rFonts w:hint="eastAsia" w:ascii="Arial Narrow" w:hAnsi="Arial Narrow"/>
          <w:sz w:val="24"/>
        </w:rPr>
        <w:t>（4）馆藏古籍数字化及版本鉴定</w:t>
      </w:r>
    </w:p>
    <w:p>
      <w:pPr>
        <w:spacing w:after="93" w:afterLines="30" w:line="500" w:lineRule="exact"/>
        <w:ind w:right="-6" w:rightChars="-3" w:firstLine="465"/>
        <w:rPr>
          <w:rFonts w:ascii="Arial Narrow" w:hAnsi="Arial Narrow"/>
          <w:sz w:val="24"/>
        </w:rPr>
      </w:pPr>
      <w:r>
        <w:rPr>
          <w:rFonts w:hint="eastAsia" w:ascii="Arial Narrow" w:hAnsi="Arial Narrow"/>
          <w:sz w:val="24"/>
        </w:rPr>
        <w:t>完成三部珍贵古籍约10000页数字化图像，建立互联网展示平台；完成了馆藏古籍约80%的版本鉴定。</w:t>
      </w:r>
    </w:p>
    <w:p>
      <w:pPr>
        <w:spacing w:after="93" w:afterLines="30" w:line="500" w:lineRule="exact"/>
        <w:ind w:right="-6" w:rightChars="-3" w:firstLine="465"/>
        <w:rPr>
          <w:rFonts w:ascii="Arial Narrow" w:hAnsi="Arial Narrow"/>
          <w:sz w:val="24"/>
        </w:rPr>
      </w:pPr>
      <w:r>
        <w:rPr>
          <w:rFonts w:ascii="Arial Narrow" w:hAnsi="Arial Narrow"/>
          <w:sz w:val="24"/>
        </w:rPr>
        <w:br w:type="page"/>
      </w:r>
    </w:p>
    <w:p>
      <w:pPr>
        <w:spacing w:after="93" w:afterLines="30" w:line="500" w:lineRule="exact"/>
        <w:ind w:right="-6" w:rightChars="-3" w:firstLine="465"/>
        <w:rPr>
          <w:rFonts w:ascii="Arial Narrow" w:hAnsi="Arial Narrow"/>
          <w:sz w:val="24"/>
        </w:rPr>
      </w:pPr>
      <w:r>
        <mc:AlternateContent>
          <mc:Choice Requires="wps">
            <w:drawing>
              <wp:anchor distT="0" distB="0" distL="114300" distR="114300" simplePos="0" relativeHeight="251657216" behindDoc="0" locked="0" layoutInCell="1" allowOverlap="1">
                <wp:simplePos x="0" y="0"/>
                <wp:positionH relativeFrom="column">
                  <wp:posOffset>2821305</wp:posOffset>
                </wp:positionH>
                <wp:positionV relativeFrom="paragraph">
                  <wp:posOffset>-279400</wp:posOffset>
                </wp:positionV>
                <wp:extent cx="2385060" cy="3329305"/>
                <wp:effectExtent l="1905" t="0" r="3810" b="0"/>
                <wp:wrapNone/>
                <wp:docPr id="8"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385060" cy="3329305"/>
                        </a:xfrm>
                        <a:prstGeom prst="rect">
                          <a:avLst/>
                        </a:prstGeom>
                        <a:solidFill>
                          <a:srgbClr val="FFFFFF"/>
                        </a:solidFill>
                        <a:ln>
                          <a:noFill/>
                        </a:ln>
                      </wps:spPr>
                      <wps:txbx>
                        <w:txbxContent>
                          <w:p>
                            <w:r>
                              <w:drawing>
                                <wp:inline distT="0" distB="0" distL="0" distR="0">
                                  <wp:extent cx="2201545" cy="3212465"/>
                                  <wp:effectExtent l="0" t="0" r="8255" b="698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2201545" cy="3212465"/>
                                          </a:xfrm>
                                          <a:prstGeom prst="rect">
                                            <a:avLst/>
                                          </a:prstGeom>
                                          <a:noFill/>
                                          <a:ln>
                                            <a:noFill/>
                                          </a:ln>
                                        </pic:spPr>
                                      </pic:pic>
                                    </a:graphicData>
                                  </a:graphic>
                                </wp:inline>
                              </w:drawing>
                            </w:r>
                          </w:p>
                        </w:txbxContent>
                      </wps:txbx>
                      <wps:bodyPr rot="0" vert="horz" wrap="none" lIns="91440" tIns="45720" rIns="91440" bIns="45720" anchor="t" anchorCtr="false" upright="true">
                        <a:noAutofit/>
                      </wps:bodyPr>
                    </wps:wsp>
                  </a:graphicData>
                </a:graphic>
              </wp:anchor>
            </w:drawing>
          </mc:Choice>
          <mc:Fallback>
            <w:pict>
              <v:shape id="文本框 2" o:spid="_x0000_s1026" o:spt="202" type="#_x0000_t202" style="position:absolute;left:0pt;margin-left:222.15pt;margin-top:-22pt;height:262.15pt;width:187.8pt;mso-wrap-style:none;z-index:251657216;mso-width-relative:page;mso-height-relative:page;" fillcolor="#FFFFFF" filled="t" stroked="f" coordsize="21600,21600" o:gfxdata="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R+ubZdkAAAALAQAADwAAAAAAAAABACAAAAA4AAAAZHJzL2Rvd25yZXYueG1sUEsBAhQA&#10;FAAAAAgAh07iQCL8EeAUAgAA/AMAAA4AAAAAAAAAAQAgAAAAPgEAAGRycy9lMm9Eb2MueG1sUEsF&#10;BgAAAAAGAAYAWQEAAMQFAAAAAA==&#10;">
                <v:fill on="t" focussize="0,0"/>
                <v:stroke on="f"/>
                <v:imagedata o:title=""/>
                <o:lock v:ext="edit" aspectratio="f"/>
                <v:textbox>
                  <w:txbxContent>
                    <w:p>
                      <w:r>
                        <w:drawing>
                          <wp:inline distT="0" distB="0" distL="0" distR="0">
                            <wp:extent cx="2201545" cy="3212465"/>
                            <wp:effectExtent l="0" t="0" r="8255" b="698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2201545" cy="3212465"/>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36195</wp:posOffset>
                </wp:positionH>
                <wp:positionV relativeFrom="paragraph">
                  <wp:posOffset>-294005</wp:posOffset>
                </wp:positionV>
                <wp:extent cx="2515235" cy="3343910"/>
                <wp:effectExtent l="0" t="1270" r="1270" b="0"/>
                <wp:wrapNone/>
                <wp:docPr id="7" name="文本框 4"/>
                <wp:cNvGraphicFramePr/>
                <a:graphic xmlns:a="http://schemas.openxmlformats.org/drawingml/2006/main">
                  <a:graphicData uri="http://schemas.microsoft.com/office/word/2010/wordprocessingShape">
                    <wps:wsp>
                      <wps:cNvSpPr txBox="true">
                        <a:spLocks noChangeArrowheads="true"/>
                      </wps:cNvSpPr>
                      <wps:spPr bwMode="auto">
                        <a:xfrm>
                          <a:off x="0" y="0"/>
                          <a:ext cx="2515235" cy="3343910"/>
                        </a:xfrm>
                        <a:prstGeom prst="rect">
                          <a:avLst/>
                        </a:prstGeom>
                        <a:solidFill>
                          <a:srgbClr val="FFFFFF"/>
                        </a:solidFill>
                        <a:ln>
                          <a:noFill/>
                        </a:ln>
                      </wps:spPr>
                      <wps:txbx>
                        <w:txbxContent>
                          <w:p>
                            <w:r>
                              <w:drawing>
                                <wp:inline distT="0" distB="0" distL="0" distR="0">
                                  <wp:extent cx="2334260" cy="3224530"/>
                                  <wp:effectExtent l="0" t="0" r="889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2334260" cy="3224530"/>
                                          </a:xfrm>
                                          <a:prstGeom prst="rect">
                                            <a:avLst/>
                                          </a:prstGeom>
                                          <a:noFill/>
                                          <a:ln>
                                            <a:noFill/>
                                          </a:ln>
                                        </pic:spPr>
                                      </pic:pic>
                                    </a:graphicData>
                                  </a:graphic>
                                </wp:inline>
                              </w:drawing>
                            </w:r>
                          </w:p>
                        </w:txbxContent>
                      </wps:txbx>
                      <wps:bodyPr rot="0" vert="horz" wrap="none" lIns="91440" tIns="45720" rIns="91440" bIns="45720" anchor="t" anchorCtr="false" upright="true">
                        <a:noAutofit/>
                      </wps:bodyPr>
                    </wps:wsp>
                  </a:graphicData>
                </a:graphic>
              </wp:anchor>
            </w:drawing>
          </mc:Choice>
          <mc:Fallback>
            <w:pict>
              <v:shape id="文本框 4" o:spid="_x0000_s1026" o:spt="202" type="#_x0000_t202" style="position:absolute;left:0pt;margin-left:2.85pt;margin-top:-23.15pt;height:263.3pt;width:198.05pt;mso-wrap-style:none;z-index:251656192;mso-width-relative:page;mso-height-relative:page;" fillcolor="#FFFFFF" filled="t" stroked="f" coordsize="21600,21600" o:gfxdata="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I90ZDXYAAAACQEAAA8AAAAAAAAAAQAgAAAAOAAAAGRycy9kb3ducmV2LnhtbFBLAQIU&#10;ABQAAAAIAIdO4kDW5R7lFgIAAPwDAAAOAAAAAAAAAAEAIAAAAD0BAABkcnMvZTJvRG9jLnhtbFBL&#10;BQYAAAAABgAGAFkBAADFBQAAAAA=&#10;">
                <v:fill on="t" focussize="0,0"/>
                <v:stroke on="f"/>
                <v:imagedata o:title=""/>
                <o:lock v:ext="edit" aspectratio="f"/>
                <v:textbox>
                  <w:txbxContent>
                    <w:p>
                      <w:r>
                        <w:drawing>
                          <wp:inline distT="0" distB="0" distL="0" distR="0">
                            <wp:extent cx="2334260" cy="3224530"/>
                            <wp:effectExtent l="0" t="0" r="889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2334260" cy="3224530"/>
                                    </a:xfrm>
                                    <a:prstGeom prst="rect">
                                      <a:avLst/>
                                    </a:prstGeom>
                                    <a:noFill/>
                                    <a:ln>
                                      <a:noFill/>
                                    </a:ln>
                                  </pic:spPr>
                                </pic:pic>
                              </a:graphicData>
                            </a:graphic>
                          </wp:inline>
                        </w:drawing>
                      </w:r>
                    </w:p>
                  </w:txbxContent>
                </v:textbox>
              </v:shape>
            </w:pict>
          </mc:Fallback>
        </mc:AlternateContent>
      </w: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rPr>
          <w:rFonts w:ascii="Arial Narrow" w:hAnsi="Arial Narrow"/>
          <w:sz w:val="24"/>
        </w:rPr>
      </w:pPr>
    </w:p>
    <w:p>
      <w:pPr>
        <w:spacing w:after="93" w:afterLines="30" w:line="500" w:lineRule="exact"/>
        <w:ind w:right="-6" w:rightChars="-3" w:firstLine="465"/>
        <w:rPr>
          <w:rFonts w:ascii="Arial Narrow" w:hAnsi="Arial Narrow"/>
          <w:sz w:val="24"/>
        </w:rPr>
      </w:pPr>
    </w:p>
    <w:p>
      <w:pPr>
        <w:spacing w:after="93" w:afterLines="30" w:line="500" w:lineRule="exact"/>
        <w:ind w:right="-6" w:rightChars="-3"/>
        <w:rPr>
          <w:rFonts w:ascii="Arial Narrow" w:hAnsi="Arial Narrow"/>
          <w:sz w:val="24"/>
        </w:rPr>
      </w:pPr>
    </w:p>
    <w:p>
      <w:pPr>
        <w:jc w:val="center"/>
        <w:rPr>
          <w:rFonts w:ascii="华文楷体" w:hAnsi="华文楷体" w:eastAsia="华文楷体"/>
          <w:sz w:val="24"/>
        </w:rPr>
      </w:pPr>
    </w:p>
    <w:p>
      <w:pPr>
        <w:rPr>
          <w:rFonts w:ascii="华文楷体" w:hAnsi="华文楷体" w:eastAsia="华文楷体"/>
          <w:sz w:val="24"/>
        </w:rPr>
      </w:pPr>
    </w:p>
    <w:p>
      <w:pPr>
        <w:jc w:val="center"/>
        <w:rPr>
          <w:rFonts w:ascii="华文楷体" w:hAnsi="华文楷体" w:eastAsia="华文楷体"/>
          <w:sz w:val="24"/>
        </w:rPr>
      </w:pPr>
      <w:r>
        <w:rPr>
          <w:rFonts w:hint="eastAsia" w:ascii="华文楷体" w:hAnsi="华文楷体" w:eastAsia="华文楷体"/>
          <w:sz w:val="24"/>
        </w:rPr>
        <w:t>图2：珍贵古籍《硃批谕旨》</w:t>
      </w:r>
    </w:p>
    <w:p>
      <w:pPr>
        <w:spacing w:after="93" w:afterLines="30" w:line="500" w:lineRule="exact"/>
        <w:ind w:right="-6" w:rightChars="-3" w:firstLine="465"/>
        <w:rPr>
          <w:rFonts w:ascii="Arial Narrow" w:hAnsi="Arial Narrow"/>
          <w:sz w:val="24"/>
        </w:rPr>
      </w:pPr>
      <w:r>
        <w:rPr>
          <w:rFonts w:ascii="Arial Narrow" w:hAnsi="Arial Narrow"/>
          <w:sz w:val="24"/>
        </w:rPr>
        <w:t>（</w:t>
      </w:r>
      <w:r>
        <w:rPr>
          <w:rFonts w:hint="eastAsia" w:ascii="Arial Narrow" w:hAnsi="Arial Narrow"/>
          <w:sz w:val="24"/>
        </w:rPr>
        <w:t>5</w:t>
      </w:r>
      <w:r>
        <w:rPr>
          <w:rFonts w:ascii="Arial Narrow" w:hAnsi="Arial Narrow"/>
          <w:sz w:val="24"/>
        </w:rPr>
        <w:t>）</w:t>
      </w:r>
      <w:r>
        <w:rPr>
          <w:rFonts w:hint="eastAsia" w:ascii="Arial Narrow" w:hAnsi="Arial Narrow"/>
          <w:sz w:val="24"/>
        </w:rPr>
        <w:t>古籍善本第一阶段保护性数字扫描</w:t>
      </w:r>
    </w:p>
    <w:p>
      <w:pPr>
        <w:spacing w:after="93" w:afterLines="30" w:line="500" w:lineRule="exact"/>
        <w:ind w:right="-6" w:rightChars="-3" w:firstLine="480" w:firstLineChars="200"/>
        <w:rPr>
          <w:rFonts w:ascii="Arial Narrow" w:hAnsi="Arial Narrow"/>
          <w:sz w:val="24"/>
        </w:rPr>
      </w:pPr>
      <w:r>
        <w:rPr>
          <w:rFonts w:hint="eastAsia" w:ascii="Arial Narrow" w:hAnsi="Arial Narrow"/>
          <w:sz w:val="24"/>
        </w:rPr>
        <w:t>完成馆藏古籍普查扫描9600页，图像加工制作9600页；对古籍编目和对影像主要信息提取；制作大八开尺寸图录电子版2000页（双面）；打印彩色精选图像1720页，精选图录300页A3纸；建立互联网展示平台。</w:t>
      </w:r>
    </w:p>
    <w:p>
      <w:pPr>
        <w:spacing w:after="93" w:afterLines="30" w:line="500" w:lineRule="exact"/>
        <w:ind w:right="-6" w:rightChars="-3" w:firstLine="420" w:firstLineChars="200"/>
        <w:rPr>
          <w:rFonts w:ascii="Arial Narrow" w:hAnsi="Arial Narrow"/>
          <w:sz w:val="24"/>
        </w:rPr>
      </w:pPr>
      <w:r>
        <w:drawing>
          <wp:anchor distT="0" distB="0" distL="114300" distR="114300" simplePos="0" relativeHeight="251658240" behindDoc="0" locked="0" layoutInCell="1" allowOverlap="1">
            <wp:simplePos x="0" y="0"/>
            <wp:positionH relativeFrom="column">
              <wp:posOffset>117475</wp:posOffset>
            </wp:positionH>
            <wp:positionV relativeFrom="paragraph">
              <wp:posOffset>40005</wp:posOffset>
            </wp:positionV>
            <wp:extent cx="5486400" cy="2849880"/>
            <wp:effectExtent l="0" t="0" r="0" b="7620"/>
            <wp:wrapNone/>
            <wp:docPr id="1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486400" cy="2849880"/>
                    </a:xfrm>
                    <a:prstGeom prst="rect">
                      <a:avLst/>
                    </a:prstGeom>
                    <a:noFill/>
                    <a:ln>
                      <a:noFill/>
                    </a:ln>
                  </pic:spPr>
                </pic:pic>
              </a:graphicData>
            </a:graphic>
          </wp:anchor>
        </w:drawing>
      </w:r>
    </w:p>
    <w:p>
      <w:pPr>
        <w:spacing w:after="93" w:afterLines="30" w:line="500" w:lineRule="exact"/>
        <w:ind w:right="-6" w:rightChars="-3" w:firstLine="480" w:firstLineChars="200"/>
        <w:rPr>
          <w:rFonts w:ascii="Arial Narrow" w:hAnsi="Arial Narrow"/>
          <w:sz w:val="24"/>
        </w:rPr>
      </w:pPr>
    </w:p>
    <w:p>
      <w:pPr>
        <w:spacing w:after="93" w:afterLines="30" w:line="500" w:lineRule="exact"/>
        <w:ind w:right="-6" w:rightChars="-3" w:firstLine="480" w:firstLineChars="200"/>
        <w:rPr>
          <w:rFonts w:ascii="Arial Narrow" w:hAnsi="Arial Narrow"/>
          <w:sz w:val="24"/>
        </w:rPr>
      </w:pPr>
    </w:p>
    <w:p>
      <w:pPr>
        <w:spacing w:after="93" w:afterLines="30" w:line="500" w:lineRule="exact"/>
        <w:ind w:right="-6" w:rightChars="-3" w:firstLine="480" w:firstLineChars="200"/>
        <w:rPr>
          <w:rFonts w:ascii="Arial Narrow" w:hAnsi="Arial Narrow"/>
          <w:sz w:val="24"/>
        </w:rPr>
      </w:pPr>
    </w:p>
    <w:p>
      <w:pPr>
        <w:spacing w:after="93" w:afterLines="30" w:line="500" w:lineRule="exact"/>
        <w:ind w:right="-6" w:rightChars="-3" w:firstLine="480" w:firstLineChars="200"/>
        <w:rPr>
          <w:rFonts w:ascii="Arial Narrow" w:hAnsi="Arial Narrow"/>
          <w:sz w:val="24"/>
        </w:rPr>
      </w:pPr>
    </w:p>
    <w:p>
      <w:pPr>
        <w:spacing w:after="93" w:afterLines="30" w:line="500" w:lineRule="exact"/>
        <w:ind w:right="-6" w:rightChars="-3" w:firstLine="480" w:firstLineChars="200"/>
        <w:rPr>
          <w:rFonts w:ascii="Arial Narrow" w:hAnsi="Arial Narrow"/>
          <w:sz w:val="24"/>
        </w:rPr>
      </w:pPr>
    </w:p>
    <w:p>
      <w:pPr>
        <w:spacing w:after="93" w:afterLines="30" w:line="500" w:lineRule="exact"/>
        <w:ind w:right="-6" w:rightChars="-3" w:firstLine="480" w:firstLineChars="200"/>
        <w:rPr>
          <w:rFonts w:ascii="Arial Narrow" w:hAnsi="Arial Narrow"/>
          <w:sz w:val="24"/>
        </w:rPr>
      </w:pPr>
    </w:p>
    <w:p>
      <w:pPr>
        <w:spacing w:line="500" w:lineRule="exact"/>
        <w:ind w:right="-6" w:rightChars="-3" w:firstLine="480" w:firstLineChars="200"/>
        <w:rPr>
          <w:rFonts w:ascii="Arial Narrow" w:hAnsi="Arial Narrow"/>
          <w:sz w:val="24"/>
        </w:rPr>
      </w:pPr>
    </w:p>
    <w:p>
      <w:pPr>
        <w:jc w:val="center"/>
        <w:rPr>
          <w:rFonts w:ascii="华文楷体" w:hAnsi="华文楷体" w:eastAsia="华文楷体"/>
          <w:sz w:val="24"/>
        </w:rPr>
      </w:pPr>
      <w:r>
        <w:rPr>
          <w:rFonts w:hint="eastAsia" w:ascii="华文楷体" w:hAnsi="华文楷体" w:eastAsia="华文楷体"/>
          <w:sz w:val="24"/>
        </w:rPr>
        <w:t>图3：宁夏社会科学院馆藏古籍图录（大八开）</w:t>
      </w:r>
    </w:p>
    <w:p>
      <w:pPr>
        <w:spacing w:after="93" w:afterLines="30" w:line="500" w:lineRule="exact"/>
        <w:ind w:right="-6" w:rightChars="-3" w:firstLine="465"/>
        <w:rPr>
          <w:rFonts w:ascii="Arial Narrow" w:hAnsi="Arial Narrow"/>
          <w:sz w:val="24"/>
        </w:rPr>
      </w:pPr>
      <w:r>
        <w:rPr>
          <w:rFonts w:ascii="Arial Narrow" w:hAnsi="Arial Narrow"/>
          <w:sz w:val="24"/>
        </w:rPr>
        <w:t>（</w:t>
      </w:r>
      <w:r>
        <w:rPr>
          <w:rFonts w:hint="eastAsia" w:ascii="Arial Narrow" w:hAnsi="Arial Narrow"/>
          <w:sz w:val="24"/>
        </w:rPr>
        <w:t>6</w:t>
      </w:r>
      <w:r>
        <w:rPr>
          <w:rFonts w:ascii="Arial Narrow" w:hAnsi="Arial Narrow"/>
          <w:sz w:val="24"/>
        </w:rPr>
        <w:t>）</w:t>
      </w:r>
      <w:r>
        <w:rPr>
          <w:rFonts w:hint="eastAsia" w:ascii="Arial Narrow" w:hAnsi="Arial Narrow"/>
          <w:sz w:val="24"/>
        </w:rPr>
        <w:t>经济学</w:t>
      </w:r>
      <w:r>
        <w:rPr>
          <w:rFonts w:ascii="Arial Narrow" w:hAnsi="Arial Narrow"/>
          <w:sz w:val="24"/>
        </w:rPr>
        <w:t>学科</w:t>
      </w:r>
    </w:p>
    <w:p>
      <w:pPr>
        <w:spacing w:after="93" w:afterLines="30" w:line="500" w:lineRule="exact"/>
        <w:ind w:right="-6" w:rightChars="-3" w:firstLine="465"/>
        <w:rPr>
          <w:rFonts w:ascii="Arial Narrow" w:hAnsi="Arial Narrow"/>
          <w:sz w:val="24"/>
        </w:rPr>
      </w:pPr>
      <w:r>
        <w:rPr>
          <w:rFonts w:hint="eastAsia" w:ascii="Arial Narrow" w:hAnsi="Arial Narrow"/>
          <w:sz w:val="24"/>
        </w:rPr>
        <w:t>2021年度完成“黄河文化发展规划与建设”“中宁县枸杞种植基地和枸杞加工企业”等调研活动；完成“国内综合保税区管理运营模式创新对我区的借鉴与启示”、“探索建立支持企业创新多层次政策机制研究”、“我区打造西部重要大数据产业园研究”等重大现实问题研究；安排科研人员参加区外培训、举办学术沙龙等活动，提高学科整体科研水平。</w:t>
      </w:r>
    </w:p>
    <w:p>
      <w:pPr>
        <w:spacing w:after="93" w:afterLines="30" w:line="500" w:lineRule="exact"/>
        <w:ind w:right="-6" w:rightChars="-3" w:firstLine="465"/>
        <w:rPr>
          <w:rFonts w:ascii="Arial Narrow" w:hAnsi="Arial Narrow"/>
          <w:sz w:val="24"/>
        </w:rPr>
      </w:pPr>
      <w:r>
        <w:rPr>
          <w:rFonts w:ascii="Arial Narrow" w:hAnsi="Arial Narrow"/>
          <w:sz w:val="24"/>
        </w:rPr>
        <w:t>（</w:t>
      </w:r>
      <w:r>
        <w:rPr>
          <w:rFonts w:hint="eastAsia" w:ascii="Arial Narrow" w:hAnsi="Arial Narrow"/>
          <w:sz w:val="24"/>
        </w:rPr>
        <w:t>7</w:t>
      </w:r>
      <w:r>
        <w:rPr>
          <w:rFonts w:ascii="Arial Narrow" w:hAnsi="Arial Narrow"/>
          <w:sz w:val="24"/>
        </w:rPr>
        <w:t>）</w:t>
      </w:r>
      <w:r>
        <w:rPr>
          <w:rFonts w:hint="eastAsia" w:ascii="Arial Narrow" w:hAnsi="Arial Narrow"/>
          <w:sz w:val="24"/>
        </w:rPr>
        <w:t>生态</w:t>
      </w:r>
      <w:r>
        <w:rPr>
          <w:rFonts w:ascii="Arial Narrow" w:hAnsi="Arial Narrow"/>
          <w:sz w:val="24"/>
        </w:rPr>
        <w:t>文明学学科</w:t>
      </w:r>
    </w:p>
    <w:p>
      <w:pPr>
        <w:spacing w:after="93" w:afterLines="30" w:line="500" w:lineRule="exact"/>
        <w:ind w:right="-6" w:rightChars="-3" w:firstLine="465"/>
        <w:rPr>
          <w:rFonts w:ascii="Arial Narrow" w:hAnsi="Arial Narrow"/>
          <w:sz w:val="24"/>
        </w:rPr>
      </w:pPr>
      <w:r>
        <w:rPr>
          <w:rFonts w:hint="eastAsia" w:ascii="Arial Narrow" w:hAnsi="Arial Narrow"/>
          <w:sz w:val="24"/>
        </w:rPr>
        <w:t>2021年度完成“增强我区脱贫县巩固脱贫成果及内生发展能力研究”、“宁夏农村金融生态环境研究”、“我区沙漠生态系统建设研究”等6项重大现实问题研究课题；完成宁夏日报11篇理论文章刊载；完成院网站、院报12篇文章发表；组织学科成员参加会议培训、调研、举办学术沙龙等活动。</w:t>
      </w:r>
    </w:p>
    <w:p>
      <w:pPr>
        <w:spacing w:after="93" w:afterLines="30" w:line="500" w:lineRule="exact"/>
        <w:ind w:right="-6" w:rightChars="-3" w:firstLine="465"/>
        <w:rPr>
          <w:rFonts w:ascii="Arial Narrow" w:hAnsi="Arial Narrow"/>
          <w:sz w:val="24"/>
        </w:rPr>
      </w:pPr>
      <w:r>
        <w:rPr>
          <w:rFonts w:hint="eastAsia" w:ascii="Arial Narrow" w:hAnsi="Arial Narrow"/>
          <w:sz w:val="24"/>
        </w:rPr>
        <w:t>（8）政法学学科</w:t>
      </w:r>
    </w:p>
    <w:p>
      <w:pPr>
        <w:spacing w:after="93" w:afterLines="30" w:line="500" w:lineRule="exact"/>
        <w:ind w:right="-6" w:rightChars="-3" w:firstLine="465"/>
        <w:rPr>
          <w:rFonts w:ascii="Arial Narrow" w:hAnsi="Arial Narrow"/>
          <w:sz w:val="24"/>
        </w:rPr>
      </w:pPr>
      <w:r>
        <w:rPr>
          <w:rFonts w:hint="eastAsia" w:ascii="Arial Narrow" w:hAnsi="Arial Narrow"/>
          <w:sz w:val="24"/>
        </w:rPr>
        <w:t>2021年度完成“建设符合哲学社会科学研究规律的规范体系，提升社科研究机构纪检监察工作法治化水平研究”、“建设黄河流域生态保护和高质量发展先行区法治保障问题研究”2项重大现实问题研究课题；完成《宁夏法治发展报告（2022）》蓝皮书稿件编辑、校对工作；组织学科成员参加学术讲座、开展部门田野调研等活动。</w:t>
      </w:r>
    </w:p>
    <w:p>
      <w:pPr>
        <w:spacing w:after="93" w:afterLines="30" w:line="500" w:lineRule="exact"/>
        <w:ind w:right="-6" w:rightChars="-3" w:firstLine="465"/>
        <w:rPr>
          <w:rFonts w:ascii="Arial Narrow" w:hAnsi="Arial Narrow"/>
          <w:sz w:val="24"/>
        </w:rPr>
      </w:pPr>
      <w:r>
        <w:rPr>
          <w:rFonts w:hint="eastAsia" w:ascii="Arial Narrow" w:hAnsi="Arial Narrow"/>
          <w:sz w:val="24"/>
        </w:rPr>
        <w:t>（9）社会学学科</w:t>
      </w:r>
    </w:p>
    <w:p>
      <w:pPr>
        <w:spacing w:after="93" w:afterLines="30" w:line="500" w:lineRule="exact"/>
        <w:ind w:right="-6" w:rightChars="-3" w:firstLine="465"/>
        <w:rPr>
          <w:rFonts w:ascii="Arial Narrow" w:hAnsi="Arial Narrow"/>
          <w:sz w:val="24"/>
        </w:rPr>
      </w:pPr>
      <w:r>
        <w:rPr>
          <w:rFonts w:hint="eastAsia" w:ascii="Arial Narrow" w:hAnsi="Arial Narrow"/>
          <w:sz w:val="24"/>
        </w:rPr>
        <w:t>2021年度完成“宁夏人口结构现状、未来趋势及生育政策选择研究”1项重大现实问题研究课题；出版《动员与发展—生态移民中国的国家与乡村社会》、《生态移民地区留守儿童权力保障》两部专著；完成《宁夏社会发展报告（2022）》蓝皮书稿件编辑、校对工作；完成自治区党报党刊14篇理论文章的发表。</w:t>
      </w:r>
    </w:p>
    <w:p>
      <w:pPr>
        <w:spacing w:after="93" w:afterLines="30" w:line="500" w:lineRule="exact"/>
        <w:ind w:right="-6" w:rightChars="-3" w:firstLine="465"/>
        <w:rPr>
          <w:rFonts w:ascii="Arial Narrow" w:hAnsi="Arial Narrow"/>
          <w:sz w:val="24"/>
        </w:rPr>
      </w:pPr>
      <w:r>
        <w:rPr>
          <w:rFonts w:ascii="Arial Narrow" w:hAnsi="Arial Narrow"/>
          <w:sz w:val="24"/>
        </w:rPr>
        <w:t>（</w:t>
      </w:r>
      <w:r>
        <w:rPr>
          <w:rFonts w:hint="eastAsia" w:ascii="Arial Narrow" w:hAnsi="Arial Narrow"/>
          <w:sz w:val="24"/>
        </w:rPr>
        <w:t>10</w:t>
      </w:r>
      <w:r>
        <w:rPr>
          <w:rFonts w:ascii="Arial Narrow" w:hAnsi="Arial Narrow"/>
          <w:sz w:val="24"/>
        </w:rPr>
        <w:t>）</w:t>
      </w:r>
      <w:r>
        <w:rPr>
          <w:rFonts w:hint="eastAsia" w:ascii="Arial Narrow" w:hAnsi="Arial Narrow"/>
          <w:sz w:val="24"/>
        </w:rPr>
        <w:t>文化学</w:t>
      </w:r>
      <w:r>
        <w:rPr>
          <w:rFonts w:ascii="Arial Narrow" w:hAnsi="Arial Narrow"/>
          <w:sz w:val="24"/>
        </w:rPr>
        <w:t>学科</w:t>
      </w:r>
    </w:p>
    <w:p>
      <w:pPr>
        <w:spacing w:after="93" w:afterLines="30" w:line="500" w:lineRule="exact"/>
        <w:ind w:right="-6" w:rightChars="-3" w:firstLine="465"/>
        <w:rPr>
          <w:rFonts w:ascii="Arial Narrow" w:hAnsi="Arial Narrow"/>
          <w:sz w:val="24"/>
        </w:rPr>
      </w:pPr>
      <w:r>
        <w:rPr>
          <w:rFonts w:hint="eastAsia" w:ascii="Arial Narrow" w:hAnsi="Arial Narrow"/>
          <w:sz w:val="24"/>
        </w:rPr>
        <w:t>2021年度完成“深度挖掘黄河文化传承彰显区时代价值研究”、“自治区第十二次党代表会以来宁夏各项成就及经验”2项重大现实问题研究课题；党报党刊发表理论文章5篇；组织学科成员参加学术研讨会、举办学术沙龙等活动，提升学科成员科研水平及文化学学科社会影响力。</w:t>
      </w:r>
    </w:p>
    <w:p>
      <w:pPr>
        <w:spacing w:after="93" w:afterLines="30" w:line="500" w:lineRule="exact"/>
        <w:ind w:right="-6" w:rightChars="-3" w:firstLine="480"/>
        <w:rPr>
          <w:rFonts w:ascii="Arial Narrow" w:hAnsi="Arial Narrow"/>
          <w:sz w:val="24"/>
        </w:rPr>
      </w:pPr>
      <w:r>
        <w:rPr>
          <w:rFonts w:ascii="Arial Narrow" w:hAnsi="Arial Narrow"/>
          <w:sz w:val="24"/>
        </w:rPr>
        <w:t>（1</w:t>
      </w:r>
      <w:r>
        <w:rPr>
          <w:rFonts w:hint="eastAsia" w:ascii="Arial Narrow" w:hAnsi="Arial Narrow"/>
          <w:sz w:val="24"/>
        </w:rPr>
        <w:t>1</w:t>
      </w:r>
      <w:r>
        <w:rPr>
          <w:rFonts w:ascii="Arial Narrow" w:hAnsi="Arial Narrow"/>
          <w:sz w:val="24"/>
        </w:rPr>
        <w:t>）</w:t>
      </w:r>
      <w:r>
        <w:rPr>
          <w:rFonts w:hint="eastAsia" w:ascii="Arial Narrow" w:hAnsi="Arial Narrow"/>
          <w:sz w:val="24"/>
        </w:rPr>
        <w:t>民</w:t>
      </w:r>
      <w:r>
        <w:rPr>
          <w:rFonts w:ascii="Arial Narrow" w:hAnsi="Arial Narrow"/>
          <w:sz w:val="24"/>
        </w:rPr>
        <w:t>族学学科</w:t>
      </w:r>
    </w:p>
    <w:p>
      <w:pPr>
        <w:spacing w:after="93" w:afterLines="30" w:line="500" w:lineRule="exact"/>
        <w:ind w:right="-6" w:rightChars="-3" w:firstLine="480"/>
        <w:rPr>
          <w:rFonts w:ascii="Arial Narrow" w:hAnsi="Arial Narrow"/>
          <w:sz w:val="24"/>
        </w:rPr>
      </w:pPr>
      <w:r>
        <w:rPr>
          <w:rFonts w:hint="eastAsia" w:ascii="Arial Narrow" w:hAnsi="Arial Narrow"/>
          <w:sz w:val="24"/>
        </w:rPr>
        <w:t>民族学学科2021年多次赴区内进行关于民族政策等方面的调研，支持1人次参加国内学术交流，注重人才梯队建设，注重本部门科研人员业务能力的培养，培养博士1人，2项民族问题研究获得了自治区主要领导批示并获奖，学科成员发表相关论文十余篇，编辑出版《回族研究》期刊4期。</w:t>
      </w:r>
    </w:p>
    <w:p>
      <w:pPr>
        <w:spacing w:after="93" w:afterLines="30" w:line="500" w:lineRule="exact"/>
        <w:ind w:right="-6" w:rightChars="-3" w:firstLine="465"/>
        <w:rPr>
          <w:rFonts w:ascii="Arial Narrow" w:hAnsi="Arial Narrow"/>
          <w:sz w:val="24"/>
        </w:rPr>
      </w:pPr>
      <w:r>
        <w:rPr>
          <w:rFonts w:ascii="Arial Narrow" w:hAnsi="Arial Narrow"/>
          <w:sz w:val="24"/>
        </w:rPr>
        <w:t>（1</w:t>
      </w:r>
      <w:r>
        <w:rPr>
          <w:rFonts w:hint="eastAsia" w:ascii="Arial Narrow" w:hAnsi="Arial Narrow"/>
          <w:sz w:val="24"/>
        </w:rPr>
        <w:t>2</w:t>
      </w:r>
      <w:r>
        <w:rPr>
          <w:rFonts w:ascii="Arial Narrow" w:hAnsi="Arial Narrow"/>
          <w:sz w:val="24"/>
        </w:rPr>
        <w:t>）</w:t>
      </w:r>
      <w:r>
        <w:rPr>
          <w:rFonts w:hint="eastAsia" w:ascii="Arial Narrow" w:hAnsi="Arial Narrow"/>
          <w:sz w:val="24"/>
        </w:rPr>
        <w:t>西夏学</w:t>
      </w:r>
      <w:r>
        <w:rPr>
          <w:rFonts w:ascii="Arial Narrow" w:hAnsi="Arial Narrow"/>
          <w:sz w:val="24"/>
        </w:rPr>
        <w:t>学科</w:t>
      </w:r>
    </w:p>
    <w:p>
      <w:pPr>
        <w:spacing w:after="93" w:afterLines="30" w:line="500" w:lineRule="exact"/>
        <w:ind w:right="-6" w:rightChars="-3" w:firstLine="465"/>
        <w:rPr>
          <w:rFonts w:ascii="Arial Narrow" w:hAnsi="Arial Narrow"/>
          <w:sz w:val="24"/>
        </w:rPr>
      </w:pPr>
      <w:r>
        <w:rPr>
          <w:rFonts w:hint="eastAsia" w:ascii="Arial Narrow" w:hAnsi="Arial Narrow"/>
          <w:sz w:val="24"/>
        </w:rPr>
        <w:t>西夏学学科是宁夏社会科学院重点学科，2021年6月完成“中华</w:t>
      </w:r>
      <w:r>
        <w:rPr>
          <w:rFonts w:hint="eastAsia" w:ascii="Arial Narrow" w:hAnsi="Arial Narrow"/>
          <w:sz w:val="24"/>
          <w:lang w:eastAsia="zh-CN"/>
        </w:rPr>
        <w:t>民族</w:t>
      </w:r>
      <w:bookmarkStart w:id="4" w:name="_GoBack"/>
      <w:bookmarkEnd w:id="4"/>
      <w:r>
        <w:rPr>
          <w:rFonts w:hint="eastAsia" w:ascii="Arial Narrow" w:hAnsi="Arial Narrow"/>
          <w:sz w:val="24"/>
        </w:rPr>
        <w:t>共同体形成-党项羌的迁徙与融合”主题调研，并形成调研报告，由孙广文老师发表相关文章；组织举办了“宁夏长城考古发现与研究”学术讲座1次，举办学术沙龙2期等。</w:t>
      </w:r>
    </w:p>
    <w:p>
      <w:pPr>
        <w:spacing w:after="93" w:afterLines="30" w:line="500" w:lineRule="exact"/>
        <w:ind w:right="-6" w:rightChars="-3" w:firstLine="465"/>
        <w:rPr>
          <w:rFonts w:ascii="Arial Narrow" w:hAnsi="Arial Narrow"/>
          <w:sz w:val="24"/>
        </w:rPr>
      </w:pPr>
      <w:r>
        <w:rPr>
          <w:rFonts w:ascii="Arial Narrow" w:hAnsi="Arial Narrow"/>
          <w:sz w:val="24"/>
        </w:rPr>
        <w:t>（1</w:t>
      </w:r>
      <w:r>
        <w:rPr>
          <w:rFonts w:hint="eastAsia" w:ascii="Arial Narrow" w:hAnsi="Arial Narrow"/>
          <w:sz w:val="24"/>
        </w:rPr>
        <w:t>3</w:t>
      </w:r>
      <w:r>
        <w:rPr>
          <w:rFonts w:ascii="Arial Narrow" w:hAnsi="Arial Narrow"/>
          <w:sz w:val="24"/>
        </w:rPr>
        <w:t>）</w:t>
      </w:r>
      <w:r>
        <w:rPr>
          <w:rFonts w:hint="eastAsia" w:ascii="Arial Narrow" w:hAnsi="Arial Narrow"/>
          <w:sz w:val="24"/>
        </w:rPr>
        <w:t>地方</w:t>
      </w:r>
      <w:r>
        <w:rPr>
          <w:rFonts w:ascii="Arial Narrow" w:hAnsi="Arial Narrow"/>
          <w:sz w:val="24"/>
        </w:rPr>
        <w:t>历史文化学科</w:t>
      </w:r>
    </w:p>
    <w:p>
      <w:pPr>
        <w:spacing w:after="93" w:afterLines="30" w:line="500" w:lineRule="exact"/>
        <w:ind w:right="-6" w:rightChars="-3" w:firstLine="465"/>
        <w:rPr>
          <w:rFonts w:ascii="Arial Narrow" w:hAnsi="Arial Narrow"/>
          <w:sz w:val="24"/>
        </w:rPr>
      </w:pPr>
      <w:r>
        <w:rPr>
          <w:rFonts w:hint="eastAsia" w:ascii="Arial Narrow" w:hAnsi="Arial Narrow"/>
          <w:sz w:val="24"/>
        </w:rPr>
        <w:t>2021年11月完成《宁夏地方历史研究论丛》（第七辑）出版，全书共刊载20篇关于宁夏历史文化的文章，字数达23万字。完成古城遗址的调研，并撰写调研报告；参加张多勇教授有关《古代宁夏地区的军事布防》学术讲座等活动。</w:t>
      </w:r>
    </w:p>
    <w:p>
      <w:pPr>
        <w:spacing w:after="93" w:afterLines="30" w:line="500" w:lineRule="exact"/>
        <w:ind w:right="-6" w:rightChars="-3" w:firstLine="465"/>
        <w:rPr>
          <w:rFonts w:ascii="Arial Narrow" w:hAnsi="Arial Narrow"/>
          <w:sz w:val="24"/>
        </w:rPr>
      </w:pPr>
      <w:r>
        <w:rPr>
          <w:rFonts w:ascii="Arial Narrow" w:hAnsi="Arial Narrow"/>
          <w:sz w:val="24"/>
        </w:rPr>
        <w:t>（1</w:t>
      </w:r>
      <w:r>
        <w:rPr>
          <w:rFonts w:hint="eastAsia" w:ascii="Arial Narrow" w:hAnsi="Arial Narrow"/>
          <w:sz w:val="24"/>
        </w:rPr>
        <w:t>4</w:t>
      </w:r>
      <w:r>
        <w:rPr>
          <w:rFonts w:ascii="Arial Narrow" w:hAnsi="Arial Narrow"/>
          <w:sz w:val="24"/>
        </w:rPr>
        <w:t>）</w:t>
      </w:r>
      <w:r>
        <w:rPr>
          <w:rFonts w:hint="eastAsia" w:ascii="Arial Narrow" w:hAnsi="Arial Narrow"/>
          <w:sz w:val="24"/>
        </w:rPr>
        <w:t>民族</w:t>
      </w:r>
      <w:r>
        <w:rPr>
          <w:rFonts w:ascii="Arial Narrow" w:hAnsi="Arial Narrow"/>
          <w:sz w:val="24"/>
        </w:rPr>
        <w:t>文献学科</w:t>
      </w:r>
    </w:p>
    <w:p>
      <w:pPr>
        <w:spacing w:after="93" w:afterLines="30" w:line="500" w:lineRule="exact"/>
        <w:ind w:right="-6" w:rightChars="-3" w:firstLine="465"/>
        <w:rPr>
          <w:rFonts w:ascii="Arial Narrow" w:hAnsi="Arial Narrow"/>
          <w:sz w:val="24"/>
        </w:rPr>
      </w:pPr>
      <w:r>
        <w:rPr>
          <w:rFonts w:hint="eastAsia" w:ascii="Arial Narrow" w:hAnsi="Arial Narrow"/>
          <w:sz w:val="24"/>
        </w:rPr>
        <w:t>民族文献学科是宁夏社会科学院重点学科，2021年完成搜寻并整理古籍20部、红色文献50部、家谱40部的年度绩效目标。普查登记红色遗址旧址纪念地136处。组织民族文献学学科成员参与国情、区情调研近10次；参加区内外民族文献学科学术会议等。</w:t>
      </w:r>
    </w:p>
    <w:p>
      <w:pPr>
        <w:pStyle w:val="3"/>
        <w:rPr>
          <w:rFonts w:ascii="宋体" w:hAnsi="宋体"/>
          <w:bCs w:val="0"/>
          <w:sz w:val="24"/>
        </w:rPr>
      </w:pPr>
      <w:bookmarkStart w:id="0" w:name="_Toc101447866"/>
      <w:r>
        <w:rPr>
          <w:rFonts w:hint="eastAsia" w:ascii="宋体" w:hAnsi="宋体"/>
          <w:b w:val="0"/>
          <w:sz w:val="24"/>
        </w:rPr>
        <w:t>2．</w:t>
      </w:r>
      <w:r>
        <w:rPr>
          <w:rFonts w:hint="eastAsia" w:ascii="宋体" w:hAnsi="宋体"/>
          <w:bCs w:val="0"/>
          <w:sz w:val="24"/>
        </w:rPr>
        <w:t>项目完成质量</w:t>
      </w:r>
      <w:bookmarkEnd w:id="0"/>
    </w:p>
    <w:p>
      <w:pPr>
        <w:spacing w:after="93" w:afterLines="30" w:line="360" w:lineRule="auto"/>
        <w:ind w:right="-6" w:rightChars="-3" w:firstLine="465"/>
        <w:rPr>
          <w:rFonts w:ascii="宋体" w:hAnsi="宋体"/>
          <w:sz w:val="24"/>
        </w:rPr>
      </w:pPr>
      <w:r>
        <w:rPr>
          <w:rFonts w:hint="eastAsia" w:ascii="宋体" w:hAnsi="宋体" w:cs="Arial"/>
          <w:sz w:val="24"/>
        </w:rPr>
        <w:t>（1）</w:t>
      </w:r>
      <w:r>
        <w:rPr>
          <w:rFonts w:hint="eastAsia" w:ascii="宋体" w:hAnsi="宋体"/>
          <w:sz w:val="24"/>
        </w:rPr>
        <w:t>重大现实问题研究课题</w:t>
      </w:r>
    </w:p>
    <w:p>
      <w:pPr>
        <w:spacing w:after="93" w:afterLines="30" w:line="360" w:lineRule="auto"/>
        <w:ind w:right="-6" w:rightChars="-3" w:firstLine="465"/>
        <w:rPr>
          <w:rFonts w:ascii="宋体" w:hAnsi="宋体"/>
          <w:sz w:val="24"/>
        </w:rPr>
      </w:pPr>
      <w:r>
        <w:rPr>
          <w:rFonts w:hint="eastAsia" w:ascii="宋体" w:hAnsi="宋体"/>
          <w:sz w:val="24"/>
        </w:rPr>
        <w:t>完成结项的24项课题中，有19项获得了自治区领导的签批，能够为各级党政部门、科研机构、企事业单位及社会各界人士提供参阅价值。</w:t>
      </w:r>
    </w:p>
    <w:p>
      <w:pPr>
        <w:spacing w:after="93" w:afterLines="30" w:line="360" w:lineRule="auto"/>
        <w:ind w:right="-6" w:rightChars="-3" w:firstLine="465"/>
        <w:rPr>
          <w:rFonts w:ascii="宋体" w:hAnsi="宋体"/>
          <w:sz w:val="24"/>
        </w:rPr>
      </w:pPr>
      <w:r>
        <w:rPr>
          <w:rFonts w:ascii="宋体" w:hAnsi="宋体"/>
          <w:sz w:val="24"/>
        </w:rPr>
        <w:br w:type="page"/>
      </w:r>
    </w:p>
    <w:p>
      <w:pPr>
        <w:spacing w:after="93" w:afterLines="30" w:line="360" w:lineRule="auto"/>
        <w:ind w:right="-6" w:rightChars="-3" w:firstLine="465"/>
        <w:rPr>
          <w:rFonts w:ascii="宋体" w:hAnsi="宋体"/>
          <w:sz w:val="24"/>
        </w:rPr>
      </w:pPr>
      <w:r>
        <mc:AlternateContent>
          <mc:Choice Requires="wps">
            <w:drawing>
              <wp:anchor distT="0" distB="0" distL="114300" distR="114300" simplePos="0" relativeHeight="251660288" behindDoc="0" locked="0" layoutInCell="1" allowOverlap="1">
                <wp:simplePos x="0" y="0"/>
                <wp:positionH relativeFrom="column">
                  <wp:posOffset>3081655</wp:posOffset>
                </wp:positionH>
                <wp:positionV relativeFrom="paragraph">
                  <wp:posOffset>-381635</wp:posOffset>
                </wp:positionV>
                <wp:extent cx="2477135" cy="3421380"/>
                <wp:effectExtent l="5080" t="8890" r="12700" b="8255"/>
                <wp:wrapNone/>
                <wp:docPr id="6" name="文本框 7"/>
                <wp:cNvGraphicFramePr/>
                <a:graphic xmlns:a="http://schemas.openxmlformats.org/drawingml/2006/main">
                  <a:graphicData uri="http://schemas.microsoft.com/office/word/2010/wordprocessingShape">
                    <wps:wsp>
                      <wps:cNvSpPr txBox="true">
                        <a:spLocks noChangeArrowheads="true"/>
                      </wps:cNvSpPr>
                      <wps:spPr bwMode="auto">
                        <a:xfrm>
                          <a:off x="0" y="0"/>
                          <a:ext cx="2477135" cy="3421380"/>
                        </a:xfrm>
                        <a:prstGeom prst="rect">
                          <a:avLst/>
                        </a:prstGeom>
                        <a:solidFill>
                          <a:srgbClr val="FFFFFF"/>
                        </a:solidFill>
                        <a:ln w="9525" cmpd="sng">
                          <a:solidFill>
                            <a:srgbClr val="000000"/>
                          </a:solidFill>
                          <a:miter lim="800000"/>
                        </a:ln>
                      </wps:spPr>
                      <wps:txbx>
                        <w:txbxContent>
                          <w:p>
                            <w:r>
                              <w:drawing>
                                <wp:inline distT="0" distB="0" distL="0" distR="0">
                                  <wp:extent cx="2286000" cy="3248660"/>
                                  <wp:effectExtent l="0" t="0" r="0" b="889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286000" cy="3248660"/>
                                          </a:xfrm>
                                          <a:prstGeom prst="rect">
                                            <a:avLst/>
                                          </a:prstGeom>
                                          <a:noFill/>
                                          <a:ln>
                                            <a:noFill/>
                                          </a:ln>
                                        </pic:spPr>
                                      </pic:pic>
                                    </a:graphicData>
                                  </a:graphic>
                                </wp:inline>
                              </w:drawing>
                            </w:r>
                          </w:p>
                        </w:txbxContent>
                      </wps:txbx>
                      <wps:bodyPr rot="0" vert="horz" wrap="none" lIns="91440" tIns="45720" rIns="91440" bIns="45720" anchor="t" anchorCtr="false" upright="true">
                        <a:noAutofit/>
                      </wps:bodyPr>
                    </wps:wsp>
                  </a:graphicData>
                </a:graphic>
              </wp:anchor>
            </w:drawing>
          </mc:Choice>
          <mc:Fallback>
            <w:pict>
              <v:shape id="文本框 7" o:spid="_x0000_s1026" o:spt="202" type="#_x0000_t202" style="position:absolute;left:0pt;margin-left:242.65pt;margin-top:-30.05pt;height:269.4pt;width:195.05pt;mso-wrap-style:none;z-index:251660288;mso-width-relative:page;mso-height-relative:page;" fillcolor="#FFFFFF" filled="t" stroked="t" coordsize="21600,21600" o:gfxdata="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Bz3vle2wAAAAsBAAAPAAAA&#10;AAAAAAEAIAAAADgAAABkcnMvZG93bnJldi54bWxQSwECFAAUAAAACACHTuJA3wourTUCAABQBAAA&#10;DgAAAAAAAAABACAAAABAAQAAZHJzL2Uyb0RvYy54bWxQSwUGAAAAAAYABgBZAQAA5wUAAAAA&#10;">
                <v:fill on="t" focussize="0,0"/>
                <v:stroke color="#000000" miterlimit="8" joinstyle="miter"/>
                <v:imagedata o:title=""/>
                <o:lock v:ext="edit" aspectratio="f"/>
                <v:textbox>
                  <w:txbxContent>
                    <w:p>
                      <w:r>
                        <w:drawing>
                          <wp:inline distT="0" distB="0" distL="0" distR="0">
                            <wp:extent cx="2286000" cy="3248660"/>
                            <wp:effectExtent l="0" t="0" r="0" b="889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286000" cy="324866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289560</wp:posOffset>
                </wp:positionH>
                <wp:positionV relativeFrom="paragraph">
                  <wp:posOffset>-341630</wp:posOffset>
                </wp:positionV>
                <wp:extent cx="2561590" cy="3459480"/>
                <wp:effectExtent l="3810" t="1270" r="0" b="0"/>
                <wp:wrapNone/>
                <wp:docPr id="5" name="文本框 16"/>
                <wp:cNvGraphicFramePr/>
                <a:graphic xmlns:a="http://schemas.openxmlformats.org/drawingml/2006/main">
                  <a:graphicData uri="http://schemas.microsoft.com/office/word/2010/wordprocessingShape">
                    <wps:wsp>
                      <wps:cNvSpPr txBox="true">
                        <a:spLocks noChangeArrowheads="true"/>
                      </wps:cNvSpPr>
                      <wps:spPr bwMode="auto">
                        <a:xfrm>
                          <a:off x="0" y="0"/>
                          <a:ext cx="2561590" cy="3459480"/>
                        </a:xfrm>
                        <a:prstGeom prst="rect">
                          <a:avLst/>
                        </a:prstGeom>
                        <a:solidFill>
                          <a:srgbClr val="FFFFFF"/>
                        </a:solidFill>
                        <a:ln>
                          <a:noFill/>
                        </a:ln>
                      </wps:spPr>
                      <wps:txbx>
                        <w:txbxContent>
                          <w:p>
                            <w:r>
                              <w:drawing>
                                <wp:inline distT="0" distB="0" distL="0" distR="0">
                                  <wp:extent cx="2382520" cy="3320415"/>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382520" cy="3320415"/>
                                          </a:xfrm>
                                          <a:prstGeom prst="rect">
                                            <a:avLst/>
                                          </a:prstGeom>
                                          <a:noFill/>
                                          <a:ln>
                                            <a:noFill/>
                                          </a:ln>
                                        </pic:spPr>
                                      </pic:pic>
                                    </a:graphicData>
                                  </a:graphic>
                                </wp:inline>
                              </w:drawing>
                            </w:r>
                          </w:p>
                        </w:txbxContent>
                      </wps:txbx>
                      <wps:bodyPr rot="0" vert="horz" wrap="none" lIns="91440" tIns="45720" rIns="91440" bIns="45720" anchor="t" anchorCtr="false" upright="true">
                        <a:spAutoFit/>
                      </wps:bodyPr>
                    </wps:wsp>
                  </a:graphicData>
                </a:graphic>
              </wp:anchor>
            </w:drawing>
          </mc:Choice>
          <mc:Fallback>
            <w:pict>
              <v:shape id="文本框 16" o:spid="_x0000_s1026" o:spt="202" type="#_x0000_t202" style="position:absolute;left:0pt;margin-left:22.8pt;margin-top:-26.9pt;height:272.4pt;width:201.7pt;mso-wrap-style:none;z-index:251659264;mso-width-relative:page;mso-height-relative:page;" fillcolor="#FFFFFF" filled="t" stroked="f" coordsize="21600,21600" o:gfxdata="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OjrHP2QAAAAoBAAAPAAAAAAAAAAEAIAAAADgAAABkcnMvZG93bnJldi54bWxQSwEC&#10;FAAUAAAACACHTuJAmHFkOxYCAAD9AwAADgAAAAAAAAABACAAAAA+AQAAZHJzL2Uyb0RvYy54bWxQ&#10;SwUGAAAAAAYABgBZAQAAxgUAAAAA&#10;">
                <v:fill on="t" focussize="0,0"/>
                <v:stroke on="f"/>
                <v:imagedata o:title=""/>
                <o:lock v:ext="edit" aspectratio="f"/>
                <v:textbox style="mso-fit-shape-to-text:t;">
                  <w:txbxContent>
                    <w:p>
                      <w:r>
                        <w:drawing>
                          <wp:inline distT="0" distB="0" distL="0" distR="0">
                            <wp:extent cx="2382520" cy="3320415"/>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382520" cy="3320415"/>
                                    </a:xfrm>
                                    <a:prstGeom prst="rect">
                                      <a:avLst/>
                                    </a:prstGeom>
                                    <a:noFill/>
                                    <a:ln>
                                      <a:noFill/>
                                    </a:ln>
                                  </pic:spPr>
                                </pic:pic>
                              </a:graphicData>
                            </a:graphic>
                          </wp:inline>
                        </w:drawing>
                      </w:r>
                    </w:p>
                  </w:txbxContent>
                </v:textbox>
              </v:shape>
            </w:pict>
          </mc:Fallback>
        </mc:AlternateContent>
      </w:r>
    </w:p>
    <w:p>
      <w:pPr>
        <w:spacing w:after="93" w:afterLines="30" w:line="360" w:lineRule="auto"/>
        <w:ind w:right="-6" w:rightChars="-3" w:firstLine="465"/>
        <w:rPr>
          <w:rFonts w:ascii="宋体" w:hAnsi="宋体"/>
          <w:sz w:val="24"/>
        </w:rPr>
      </w:pPr>
    </w:p>
    <w:p>
      <w:pPr>
        <w:spacing w:after="93" w:afterLines="30" w:line="360" w:lineRule="auto"/>
        <w:ind w:right="-6" w:rightChars="-3" w:firstLine="465"/>
        <w:rPr>
          <w:rFonts w:ascii="宋体" w:hAnsi="宋体"/>
          <w:sz w:val="24"/>
        </w:rPr>
      </w:pPr>
    </w:p>
    <w:p>
      <w:pPr>
        <w:spacing w:after="93" w:afterLines="30" w:line="360" w:lineRule="auto"/>
        <w:ind w:right="-6" w:rightChars="-3" w:firstLine="465"/>
        <w:rPr>
          <w:rFonts w:ascii="宋体" w:hAnsi="宋体"/>
          <w:sz w:val="24"/>
        </w:rPr>
      </w:pPr>
    </w:p>
    <w:p>
      <w:pPr>
        <w:spacing w:after="93" w:afterLines="30" w:line="360" w:lineRule="auto"/>
        <w:ind w:right="-6" w:rightChars="-3" w:firstLine="465"/>
        <w:rPr>
          <w:rFonts w:ascii="宋体" w:hAnsi="宋体"/>
          <w:sz w:val="24"/>
        </w:rPr>
      </w:pPr>
    </w:p>
    <w:p>
      <w:pPr>
        <w:spacing w:after="93" w:afterLines="30" w:line="360" w:lineRule="auto"/>
        <w:ind w:right="-6" w:rightChars="-3" w:firstLine="465"/>
        <w:rPr>
          <w:rFonts w:ascii="宋体" w:hAnsi="宋体"/>
          <w:sz w:val="24"/>
        </w:rPr>
      </w:pPr>
    </w:p>
    <w:p>
      <w:pPr>
        <w:spacing w:after="93" w:afterLines="30" w:line="360" w:lineRule="auto"/>
        <w:ind w:right="-6" w:rightChars="-3" w:firstLine="465"/>
        <w:rPr>
          <w:rFonts w:ascii="宋体" w:hAnsi="宋体"/>
          <w:sz w:val="24"/>
        </w:rPr>
      </w:pPr>
    </w:p>
    <w:p>
      <w:pPr>
        <w:spacing w:after="93" w:afterLines="30" w:line="360" w:lineRule="auto"/>
        <w:ind w:right="-6" w:rightChars="-3" w:firstLine="465"/>
        <w:rPr>
          <w:rFonts w:ascii="宋体" w:hAnsi="宋体"/>
          <w:sz w:val="24"/>
        </w:rPr>
      </w:pPr>
    </w:p>
    <w:p>
      <w:pPr>
        <w:spacing w:line="240" w:lineRule="atLeast"/>
        <w:jc w:val="center"/>
        <w:rPr>
          <w:rFonts w:ascii="华文楷体" w:hAnsi="华文楷体" w:eastAsia="华文楷体"/>
          <w:sz w:val="11"/>
          <w:szCs w:val="11"/>
        </w:rPr>
      </w:pPr>
    </w:p>
    <w:p>
      <w:pPr>
        <w:spacing w:line="240" w:lineRule="atLeast"/>
        <w:jc w:val="center"/>
        <w:rPr>
          <w:rFonts w:ascii="华文楷体" w:hAnsi="华文楷体" w:eastAsia="华文楷体"/>
          <w:sz w:val="24"/>
        </w:rPr>
      </w:pPr>
      <w:r>
        <w:rPr>
          <w:rFonts w:hint="eastAsia" w:ascii="华文楷体" w:hAnsi="华文楷体" w:eastAsia="华文楷体"/>
          <w:sz w:val="24"/>
        </w:rPr>
        <w:t>图4：重大现实问题研究课题签批成果</w:t>
      </w:r>
    </w:p>
    <w:p>
      <w:pPr>
        <w:spacing w:after="93" w:afterLines="30" w:line="360" w:lineRule="auto"/>
        <w:ind w:right="-6" w:rightChars="-3" w:firstLine="465"/>
        <w:rPr>
          <w:rFonts w:ascii="宋体" w:hAnsi="宋体"/>
          <w:sz w:val="24"/>
        </w:rPr>
      </w:pPr>
      <w:r>
        <w:rPr>
          <w:rFonts w:hint="eastAsia" w:ascii="宋体" w:hAnsi="宋体"/>
          <w:sz w:val="24"/>
        </w:rPr>
        <w:t>（2）</w:t>
      </w:r>
      <w:r>
        <w:rPr>
          <w:rFonts w:hint="eastAsia" w:ascii="Arial Narrow" w:hAnsi="Arial Narrow"/>
          <w:sz w:val="24"/>
        </w:rPr>
        <w:t>网络安全与信息化建设</w:t>
      </w:r>
    </w:p>
    <w:p>
      <w:pPr>
        <w:spacing w:after="93" w:afterLines="30" w:line="360" w:lineRule="auto"/>
        <w:ind w:firstLine="480" w:firstLineChars="200"/>
        <w:rPr>
          <w:rFonts w:ascii="Arial Narrow" w:hAnsi="Arial Narrow"/>
          <w:sz w:val="24"/>
        </w:rPr>
      </w:pPr>
      <w:r>
        <w:rPr>
          <w:rFonts w:hint="eastAsia" w:ascii="Arial Narrow" w:hAnsi="Arial Narrow"/>
          <w:sz w:val="24"/>
        </w:rPr>
        <w:t>全院网络安全运行，未出现网络事故；相关数据资源的采购为宁夏社会科学院科研工作提供了保障。</w:t>
      </w:r>
    </w:p>
    <w:p>
      <w:pPr>
        <w:spacing w:after="93" w:afterLines="30" w:line="360" w:lineRule="auto"/>
        <w:ind w:right="-6" w:rightChars="-3" w:firstLine="465"/>
        <w:rPr>
          <w:rFonts w:ascii="Arial Narrow" w:hAnsi="Arial Narrow"/>
          <w:sz w:val="24"/>
        </w:rPr>
      </w:pPr>
      <w:r>
        <w:rPr>
          <w:rFonts w:hint="eastAsia" w:ascii="宋体" w:hAnsi="宋体"/>
          <w:sz w:val="24"/>
        </w:rPr>
        <w:t>（3）</w:t>
      </w:r>
      <w:r>
        <w:rPr>
          <w:rFonts w:hint="eastAsia" w:ascii="Arial Narrow" w:hAnsi="Arial Narrow"/>
          <w:sz w:val="24"/>
        </w:rPr>
        <w:t>人才</w:t>
      </w:r>
      <w:r>
        <w:rPr>
          <w:rFonts w:ascii="Arial Narrow" w:hAnsi="Arial Narrow"/>
          <w:sz w:val="24"/>
        </w:rPr>
        <w:t>培养</w:t>
      </w:r>
    </w:p>
    <w:p>
      <w:pPr>
        <w:spacing w:after="93" w:afterLines="30" w:line="360" w:lineRule="auto"/>
        <w:ind w:right="-6" w:rightChars="-3" w:firstLine="465"/>
        <w:rPr>
          <w:rFonts w:ascii="Arial Narrow" w:hAnsi="Arial Narrow"/>
          <w:sz w:val="24"/>
        </w:rPr>
      </w:pPr>
      <w:r>
        <w:rPr>
          <w:rFonts w:hint="eastAsia" w:ascii="宋体" w:hAnsi="宋体"/>
          <w:sz w:val="24"/>
        </w:rPr>
        <w:t>严格按照相关规定组织实施自主公开招聘工作，最终</w:t>
      </w:r>
      <w:r>
        <w:rPr>
          <w:rFonts w:hint="eastAsia" w:ascii="Arial Narrow" w:hAnsi="Arial Narrow"/>
          <w:sz w:val="24"/>
        </w:rPr>
        <w:t>完成6名硕士研究生公开招录，实现宁夏社会科学院关键岗位人才补充。</w:t>
      </w:r>
    </w:p>
    <w:p>
      <w:pPr>
        <w:spacing w:after="93" w:afterLines="30" w:line="360" w:lineRule="auto"/>
        <w:ind w:right="-6" w:rightChars="-3" w:firstLine="465"/>
        <w:rPr>
          <w:rFonts w:ascii="宋体" w:hAnsi="宋体"/>
          <w:sz w:val="24"/>
        </w:rPr>
      </w:pPr>
      <w:r>
        <w:rPr>
          <w:rFonts w:hint="eastAsia" w:ascii="宋体" w:hAnsi="宋体"/>
          <w:sz w:val="24"/>
        </w:rPr>
        <w:t>（4）馆藏古籍数字化及版本鉴定</w:t>
      </w:r>
    </w:p>
    <w:p>
      <w:pPr>
        <w:spacing w:after="93" w:afterLines="30" w:line="360" w:lineRule="auto"/>
        <w:ind w:right="-6" w:rightChars="-3" w:firstLine="465"/>
        <w:rPr>
          <w:rFonts w:ascii="宋体" w:hAnsi="宋体"/>
          <w:sz w:val="24"/>
        </w:rPr>
      </w:pPr>
      <w:r>
        <w:rPr>
          <w:rFonts w:hint="eastAsia" w:ascii="宋体" w:hAnsi="宋体"/>
          <w:sz w:val="24"/>
        </w:rPr>
        <w:t>三本珍贵古籍高质量扫描，采用非接触式古籍扫描，主要是利用先进的线性CCD成像，LED冷光源扫描不会对古籍产生伤害，高精度真色彩扫描镜头完美再现原稿的细节；成立专家工作小组对宁夏社会科学院馆藏古籍进行鉴定，对有疑问的古籍深入考察比对研究，交叉检查、多方查证，最终做出结论。</w:t>
      </w:r>
    </w:p>
    <w:p>
      <w:pPr>
        <w:spacing w:after="93" w:afterLines="30" w:line="360" w:lineRule="auto"/>
        <w:ind w:right="-6" w:rightChars="-3" w:firstLine="465"/>
        <w:rPr>
          <w:rFonts w:ascii="Arial Narrow" w:hAnsi="Arial Narrow"/>
          <w:sz w:val="24"/>
        </w:rPr>
      </w:pPr>
      <w:r>
        <w:rPr>
          <w:rFonts w:hint="eastAsia" w:ascii="宋体" w:hAnsi="宋体"/>
          <w:sz w:val="24"/>
        </w:rPr>
        <w:t>（5）</w:t>
      </w:r>
      <w:r>
        <w:rPr>
          <w:rFonts w:hint="eastAsia" w:ascii="Arial Narrow" w:hAnsi="Arial Narrow"/>
          <w:sz w:val="24"/>
        </w:rPr>
        <w:t>古籍善本第一阶段保护性数字扫描</w:t>
      </w:r>
    </w:p>
    <w:p>
      <w:pPr>
        <w:spacing w:after="93" w:afterLines="30" w:line="360" w:lineRule="auto"/>
        <w:ind w:right="-6" w:rightChars="-3" w:firstLine="465"/>
        <w:rPr>
          <w:rFonts w:ascii="宋体" w:hAnsi="宋体"/>
          <w:sz w:val="24"/>
        </w:rPr>
      </w:pPr>
      <w:r>
        <w:rPr>
          <w:rFonts w:hint="eastAsia" w:ascii="宋体" w:hAnsi="宋体"/>
          <w:sz w:val="24"/>
        </w:rPr>
        <w:t>对馆藏古籍普查性扫描并以图像形式存储，存储版式保留完整，能保持文献的原始状态，同时图像文件经过技术处理后，能以较小的储存空间存储；依据《中华版本普查工作文献整理登记表》内容要求，客观、准确记录古籍基本信息。</w:t>
      </w:r>
    </w:p>
    <w:p>
      <w:pPr>
        <w:spacing w:after="93" w:afterLines="30" w:line="360" w:lineRule="auto"/>
        <w:ind w:firstLine="480" w:firstLineChars="200"/>
        <w:rPr>
          <w:rFonts w:ascii="Arial Narrow" w:hAnsi="Arial Narrow"/>
          <w:sz w:val="24"/>
        </w:rPr>
      </w:pPr>
      <w:r>
        <w:rPr>
          <w:rFonts w:hint="eastAsia" w:ascii="Arial Narrow" w:hAnsi="Arial Narrow"/>
          <w:sz w:val="24"/>
        </w:rPr>
        <w:t>（6）经济学</w:t>
      </w:r>
      <w:r>
        <w:rPr>
          <w:rFonts w:ascii="Arial Narrow" w:hAnsi="Arial Narrow"/>
          <w:sz w:val="24"/>
        </w:rPr>
        <w:t>学科</w:t>
      </w:r>
    </w:p>
    <w:p>
      <w:pPr>
        <w:spacing w:after="93" w:afterLines="30" w:line="360" w:lineRule="auto"/>
        <w:ind w:firstLine="480" w:firstLineChars="200"/>
        <w:rPr>
          <w:rFonts w:ascii="Arial Narrow" w:hAnsi="Arial Narrow"/>
          <w:sz w:val="24"/>
        </w:rPr>
      </w:pPr>
      <w:r>
        <w:rPr>
          <w:rFonts w:hint="eastAsia" w:ascii="Arial Narrow" w:hAnsi="Arial Narrow"/>
          <w:sz w:val="24"/>
        </w:rPr>
        <w:t>应用经济学科是宁夏社会科学院重点学科，以前瞻性问题研究为主要内容，学科成员按时完成课题研究，2021年度申报的2项省部级课题全部成功立项，支持2名学科成员在职攻读博士学位并支持其完成相关科研项目；学科成员《呈阅件》获得省部级领导肯定签批，为学科成果转化提供有力支撑。</w:t>
      </w:r>
    </w:p>
    <w:p>
      <w:pPr>
        <w:spacing w:after="93" w:afterLines="30" w:line="360" w:lineRule="auto"/>
        <w:ind w:right="-6" w:rightChars="-3" w:firstLine="465"/>
        <w:rPr>
          <w:rFonts w:ascii="Arial Narrow" w:hAnsi="Arial Narrow"/>
          <w:sz w:val="24"/>
        </w:rPr>
      </w:pPr>
      <w:r>
        <w:rPr>
          <w:rFonts w:hint="eastAsia" w:ascii="Arial Narrow" w:hAnsi="Arial Narrow"/>
          <w:sz w:val="24"/>
        </w:rPr>
        <w:t>（7）生态</w:t>
      </w:r>
      <w:r>
        <w:rPr>
          <w:rFonts w:ascii="Arial Narrow" w:hAnsi="Arial Narrow"/>
          <w:sz w:val="24"/>
        </w:rPr>
        <w:t>文明学学科</w:t>
      </w:r>
    </w:p>
    <w:p>
      <w:pPr>
        <w:spacing w:after="93" w:afterLines="30" w:line="360" w:lineRule="auto"/>
        <w:ind w:right="-6" w:rightChars="-3" w:firstLine="465"/>
        <w:rPr>
          <w:rFonts w:ascii="Arial Narrow" w:hAnsi="Arial Narrow"/>
          <w:sz w:val="24"/>
        </w:rPr>
      </w:pPr>
      <w:r>
        <w:rPr>
          <w:rFonts w:hint="eastAsia" w:ascii="Arial Narrow" w:hAnsi="Arial Narrow"/>
          <w:sz w:val="24"/>
        </w:rPr>
        <w:t>生态文明学学科建设由宁夏社会科学院农村经济研究所（生态文明研究所）学科成员构成，以科研人才队伍建设与宁夏地方经济社会发展人才支撑为目标，以宁夏生态文明建设前瞻性问题研究为主要内容。着重培养生态文明研究领域的各类科研人才，提高科研水平，学科积极组织开展调研学习、各类课题的申报，并与中国社会科学院进行科研合作，学科成员的调研报告获自治区领导的肯定性批示。</w:t>
      </w:r>
    </w:p>
    <w:p>
      <w:pPr>
        <w:spacing w:after="93" w:afterLines="30" w:line="360" w:lineRule="auto"/>
        <w:ind w:right="-6" w:rightChars="-3" w:firstLine="465"/>
        <w:rPr>
          <w:rFonts w:ascii="Arial Narrow" w:hAnsi="Arial Narrow"/>
          <w:sz w:val="24"/>
        </w:rPr>
      </w:pPr>
      <w:r>
        <w:rPr>
          <w:rFonts w:ascii="Arial Narrow" w:hAnsi="Arial Narrow"/>
          <w:sz w:val="24"/>
        </w:rPr>
        <w:t>（8）</w:t>
      </w:r>
      <w:r>
        <w:rPr>
          <w:rFonts w:hint="eastAsia" w:ascii="Arial Narrow" w:hAnsi="Arial Narrow"/>
          <w:sz w:val="24"/>
        </w:rPr>
        <w:t>政法学</w:t>
      </w:r>
      <w:r>
        <w:rPr>
          <w:rFonts w:ascii="Arial Narrow" w:hAnsi="Arial Narrow"/>
          <w:sz w:val="24"/>
        </w:rPr>
        <w:t>学科</w:t>
      </w:r>
    </w:p>
    <w:p>
      <w:pPr>
        <w:spacing w:after="93" w:afterLines="30" w:line="360" w:lineRule="auto"/>
        <w:ind w:right="-6" w:rightChars="-3" w:firstLine="465"/>
        <w:rPr>
          <w:rFonts w:ascii="Arial Narrow" w:hAnsi="Arial Narrow"/>
          <w:sz w:val="24"/>
        </w:rPr>
      </w:pPr>
      <w:r>
        <w:rPr>
          <w:rFonts w:hint="eastAsia" w:ascii="Arial Narrow" w:hAnsi="Arial Narrow"/>
          <w:sz w:val="24"/>
        </w:rPr>
        <w:t>政法学学科建设由宁夏社会科学院法学所学科成员构成，以政法学学科建设前瞻性问题研究为主要内容，所有科研人员科研考核成果审核工作已完成，且多数人员获得分值远超考核分值数倍。荣获各类学术论坛论文奖项4项，出版专著《生态移民地区—留守儿童权利保障》，提高宁夏政法学研究学术影响力的同时，为宁夏法治发展热点、难点、痛点问题提供学术智力决策咨询建议。</w:t>
      </w:r>
    </w:p>
    <w:p>
      <w:pPr>
        <w:spacing w:after="93" w:afterLines="30" w:line="360" w:lineRule="auto"/>
        <w:ind w:right="-6" w:rightChars="-3" w:firstLine="465"/>
        <w:rPr>
          <w:rFonts w:ascii="Arial Narrow" w:hAnsi="Arial Narrow"/>
          <w:sz w:val="24"/>
        </w:rPr>
      </w:pPr>
      <w:r>
        <w:rPr>
          <w:rFonts w:hint="eastAsia" w:ascii="Arial Narrow" w:hAnsi="Arial Narrow"/>
          <w:sz w:val="24"/>
        </w:rPr>
        <w:t>（9）社会学</w:t>
      </w:r>
      <w:r>
        <w:rPr>
          <w:rFonts w:ascii="Arial Narrow" w:hAnsi="Arial Narrow"/>
          <w:sz w:val="24"/>
        </w:rPr>
        <w:t>学科</w:t>
      </w:r>
    </w:p>
    <w:p>
      <w:pPr>
        <w:spacing w:after="93" w:afterLines="30" w:line="360" w:lineRule="auto"/>
        <w:ind w:right="-6" w:rightChars="-3" w:firstLine="465"/>
        <w:rPr>
          <w:rFonts w:ascii="Arial Narrow" w:hAnsi="Arial Narrow"/>
          <w:sz w:val="24"/>
        </w:rPr>
      </w:pPr>
      <w:r>
        <w:rPr>
          <w:rFonts w:hint="eastAsia" w:ascii="Arial Narrow" w:hAnsi="Arial Narrow"/>
          <w:sz w:val="24"/>
        </w:rPr>
        <w:t>社会学学科建设由宁夏社会科学院法学所学科成员构成，以社会学学科建设前瞻性问题研究为主要内容，学科成员按时完成年初设立目标，并在2021年度考核中取得良好的成绩。2021年承担院重大现实问题课题3项，其中课题成果获全国政协主要领导批示1件，自治区主要领导批示5件，支持2名学科成员在职攻读博士学位，其中1名学员已顺利毕业。</w:t>
      </w:r>
    </w:p>
    <w:p>
      <w:pPr>
        <w:spacing w:after="93" w:afterLines="30" w:line="360" w:lineRule="auto"/>
        <w:ind w:right="-6" w:rightChars="-3" w:firstLine="465"/>
        <w:rPr>
          <w:rFonts w:ascii="Arial Narrow" w:hAnsi="Arial Narrow"/>
          <w:sz w:val="24"/>
        </w:rPr>
      </w:pPr>
      <w:r>
        <w:rPr>
          <w:rFonts w:hint="eastAsia" w:ascii="Arial Narrow" w:hAnsi="Arial Narrow"/>
          <w:sz w:val="24"/>
        </w:rPr>
        <w:t>（10）文化</w:t>
      </w:r>
      <w:r>
        <w:rPr>
          <w:rFonts w:ascii="Arial Narrow" w:hAnsi="Arial Narrow"/>
          <w:sz w:val="24"/>
        </w:rPr>
        <w:t>学学科</w:t>
      </w:r>
    </w:p>
    <w:p>
      <w:pPr>
        <w:spacing w:after="93" w:afterLines="30" w:line="360" w:lineRule="auto"/>
        <w:ind w:right="-6" w:rightChars="-3" w:firstLine="465"/>
        <w:rPr>
          <w:rFonts w:ascii="Arial Narrow" w:hAnsi="Arial Narrow"/>
          <w:sz w:val="24"/>
        </w:rPr>
      </w:pPr>
      <w:r>
        <w:rPr>
          <w:rFonts w:hint="eastAsia" w:ascii="Arial Narrow" w:hAnsi="Arial Narrow"/>
          <w:sz w:val="24"/>
        </w:rPr>
        <w:t>文化学学科建设由宁夏社会科学院文化研究所学科成员构成，学科成员已按时完成年初制定任务，发表多篇论文，并高质量完成了《黄河文化高质量发展研究》一书的编撰及出版工作，为宁夏文化建设提供资料支撑，为各级政府部门、科研机构、企事业单位及社会各界人士提供参阅价值。</w:t>
      </w:r>
    </w:p>
    <w:p>
      <w:pPr>
        <w:spacing w:after="93" w:afterLines="30" w:line="360" w:lineRule="auto"/>
        <w:ind w:right="-6" w:rightChars="-3" w:firstLine="465"/>
        <w:rPr>
          <w:rFonts w:ascii="Arial Narrow" w:hAnsi="Arial Narrow"/>
          <w:sz w:val="24"/>
        </w:rPr>
      </w:pPr>
      <w:r>
        <w:rPr>
          <w:rFonts w:hint="eastAsia" w:ascii="Arial Narrow" w:hAnsi="Arial Narrow"/>
          <w:sz w:val="24"/>
        </w:rPr>
        <w:t>（11）民族学</w:t>
      </w:r>
      <w:r>
        <w:rPr>
          <w:rFonts w:ascii="Arial Narrow" w:hAnsi="Arial Narrow"/>
          <w:sz w:val="24"/>
        </w:rPr>
        <w:t>学科</w:t>
      </w:r>
    </w:p>
    <w:p>
      <w:pPr>
        <w:spacing w:after="93" w:afterLines="30" w:line="360" w:lineRule="auto"/>
        <w:ind w:right="-6" w:rightChars="-3" w:firstLine="465"/>
        <w:rPr>
          <w:rFonts w:ascii="Arial Narrow" w:hAnsi="Arial Narrow"/>
          <w:sz w:val="24"/>
        </w:rPr>
      </w:pPr>
      <w:r>
        <w:rPr>
          <w:rFonts w:hint="eastAsia" w:ascii="Arial Narrow" w:hAnsi="Arial Narrow"/>
          <w:sz w:val="24"/>
        </w:rPr>
        <w:t>民族学是由宁夏社会科学院民族学科成员负责，组织相关学科成员参加区内外回族学术研讨与交流会、培训会，提升成员学术研究水平。民学科研究注重历史文化与现实问题的结合，历史文献研究与田野调查的结合，基础研究与应用研究的结合。宁夏社会科学院集中科研力量，不断拓展新的研究领域，保持宁夏乃至全国民族学研究优势，推动民族学科建设发展。</w:t>
      </w:r>
    </w:p>
    <w:p>
      <w:pPr>
        <w:spacing w:after="93" w:afterLines="30" w:line="360" w:lineRule="auto"/>
        <w:ind w:firstLine="480" w:firstLineChars="200"/>
        <w:rPr>
          <w:rFonts w:ascii="Arial Narrow" w:hAnsi="Arial Narrow"/>
          <w:sz w:val="24"/>
        </w:rPr>
      </w:pPr>
      <w:r>
        <w:rPr>
          <w:rFonts w:hint="eastAsia" w:ascii="Arial Narrow" w:hAnsi="Arial Narrow"/>
          <w:sz w:val="24"/>
        </w:rPr>
        <w:t>（12）西夏学学科</w:t>
      </w:r>
    </w:p>
    <w:p>
      <w:pPr>
        <w:spacing w:after="93" w:afterLines="30" w:line="360" w:lineRule="auto"/>
        <w:ind w:firstLine="480" w:firstLineChars="200"/>
        <w:rPr>
          <w:rFonts w:ascii="Arial Narrow" w:hAnsi="Arial Narrow"/>
          <w:sz w:val="24"/>
        </w:rPr>
      </w:pPr>
      <w:r>
        <w:rPr>
          <w:rFonts w:hint="eastAsia" w:ascii="Arial Narrow" w:hAnsi="Arial Narrow"/>
          <w:sz w:val="24"/>
        </w:rPr>
        <w:t>西夏学是宁夏社会科学院重点学科，主要涉及宁夏地方历史文化、敦煌学等研究方向，深刻研究西夏历史地理文化、西夏语言文字、西夏文献、宋辽金元史、北方边疆民族史、文物考古等，学科负责人依照年初项目计划，组织安排本年度相关西夏历史文化等相关调研、学习培训、学术沙龙等活动，发表与人文社会科学研究相关的多样性研究成果，凸显西夏研究前沿成果，以促进西夏学学科繁荣发展。</w:t>
      </w:r>
    </w:p>
    <w:p>
      <w:pPr>
        <w:spacing w:after="93" w:afterLines="30" w:line="360" w:lineRule="auto"/>
        <w:ind w:firstLine="480" w:firstLineChars="200"/>
        <w:rPr>
          <w:rFonts w:ascii="Arial Narrow" w:hAnsi="Arial Narrow"/>
          <w:sz w:val="24"/>
        </w:rPr>
      </w:pPr>
      <w:r>
        <w:rPr>
          <w:rFonts w:hint="eastAsia" w:ascii="Arial Narrow" w:hAnsi="Arial Narrow"/>
          <w:sz w:val="24"/>
        </w:rPr>
        <w:t>（13）地方</w:t>
      </w:r>
      <w:r>
        <w:rPr>
          <w:rFonts w:ascii="Arial Narrow" w:hAnsi="Arial Narrow"/>
          <w:sz w:val="24"/>
        </w:rPr>
        <w:t>历史文化学科</w:t>
      </w:r>
    </w:p>
    <w:p>
      <w:pPr>
        <w:spacing w:after="93" w:afterLines="30" w:line="360" w:lineRule="auto"/>
        <w:ind w:firstLine="480" w:firstLineChars="200"/>
        <w:rPr>
          <w:rFonts w:ascii="Arial Narrow" w:hAnsi="Arial Narrow"/>
          <w:sz w:val="24"/>
        </w:rPr>
      </w:pPr>
      <w:r>
        <w:rPr>
          <w:rFonts w:hint="eastAsia" w:ascii="Arial Narrow" w:hAnsi="Arial Narrow"/>
          <w:sz w:val="24"/>
        </w:rPr>
        <w:t>地方历史文化学科是宁夏社会科学院重点学科，《宁夏地方历史文化论丛》是反映宁夏地方历史文化研究状况的学术系列丛书。2016年出版第一辑，截至目前，已经按年度连续出版至第七辑。出版书籍已经宁夏人民出版社审核，符合出版质量验收规范要求。本书为宁夏社会科学院地方历史文化学科成员提供了良好的学术研究平台，促进了学术交流和学术成果转化，对宁夏地方历史文化的建设和积累起到了积极的作用。</w:t>
      </w:r>
    </w:p>
    <w:p>
      <w:pPr>
        <w:spacing w:after="156" w:afterLines="50" w:line="360" w:lineRule="auto"/>
        <w:ind w:firstLine="480" w:firstLineChars="200"/>
        <w:rPr>
          <w:rFonts w:ascii="Arial Narrow" w:hAnsi="Arial Narrow"/>
          <w:sz w:val="24"/>
        </w:rPr>
      </w:pPr>
      <w:r>
        <w:rPr>
          <w:rFonts w:hint="eastAsia" w:ascii="Arial Narrow" w:hAnsi="Arial Narrow"/>
          <w:sz w:val="24"/>
        </w:rPr>
        <w:t>（14）民族文献学科</w:t>
      </w:r>
    </w:p>
    <w:p>
      <w:pPr>
        <w:spacing w:after="156" w:afterLines="50" w:line="360" w:lineRule="auto"/>
        <w:ind w:firstLine="480" w:firstLineChars="200"/>
        <w:rPr>
          <w:rFonts w:ascii="Arial Narrow" w:hAnsi="Arial Narrow"/>
          <w:sz w:val="24"/>
        </w:rPr>
      </w:pPr>
      <w:r>
        <w:rPr>
          <w:rFonts w:hint="eastAsia" w:ascii="Arial Narrow" w:hAnsi="Arial Narrow"/>
          <w:sz w:val="24"/>
        </w:rPr>
        <w:t>民族文献学科完成搜寻并整理古籍20部、红色文献50部、家谱40部的年度绩效目标。主要包括含“宁夏”地域特色的古籍文献，家谱得到广大历史爱好者、宁夏史学研究者一致好评，为宁夏地方历史文化学科成员组提供了良好的学术研究平台，促进了学术交流和学术成果转化，对宁夏地方文化的建设和积累起到了积极的作用。</w:t>
      </w:r>
    </w:p>
    <w:p>
      <w:pPr>
        <w:pStyle w:val="2"/>
        <w:ind w:firstLine="481" w:firstLineChars="200"/>
        <w:rPr>
          <w:rFonts w:ascii="宋体" w:hAnsi="宋体"/>
          <w:sz w:val="24"/>
        </w:rPr>
      </w:pPr>
      <w:bookmarkStart w:id="1" w:name="_Toc101447867"/>
      <w:r>
        <w:rPr>
          <w:rFonts w:hint="eastAsia" w:ascii="宋体" w:hAnsi="宋体"/>
          <w:sz w:val="24"/>
        </w:rPr>
        <w:t>（二）项目效益情况分析</w:t>
      </w:r>
      <w:bookmarkEnd w:id="1"/>
    </w:p>
    <w:p>
      <w:pPr>
        <w:pStyle w:val="3"/>
        <w:ind w:firstLine="480" w:firstLineChars="200"/>
        <w:rPr>
          <w:rFonts w:ascii="宋体" w:hAnsi="宋体"/>
          <w:b w:val="0"/>
          <w:sz w:val="24"/>
        </w:rPr>
      </w:pPr>
      <w:bookmarkStart w:id="2" w:name="_Toc101447868"/>
      <w:r>
        <w:rPr>
          <w:rFonts w:hint="eastAsia" w:ascii="宋体" w:hAnsi="宋体"/>
          <w:b w:val="0"/>
          <w:sz w:val="24"/>
        </w:rPr>
        <w:t>1.实施效益</w:t>
      </w:r>
      <w:bookmarkEnd w:id="2"/>
    </w:p>
    <w:p>
      <w:pPr>
        <w:spacing w:after="93" w:afterLines="30" w:line="500" w:lineRule="exact"/>
        <w:ind w:right="-6" w:rightChars="-3" w:firstLine="720" w:firstLineChars="300"/>
        <w:rPr>
          <w:rFonts w:ascii="Arial Narrow" w:hAnsi="Arial Narrow"/>
          <w:sz w:val="24"/>
        </w:rPr>
      </w:pPr>
      <w:r>
        <w:rPr>
          <w:rFonts w:ascii="Arial Narrow" w:hAnsi="Arial Narrow"/>
          <w:sz w:val="24"/>
        </w:rPr>
        <w:t>20</w:t>
      </w:r>
      <w:r>
        <w:rPr>
          <w:rFonts w:hint="eastAsia" w:ascii="Arial Narrow" w:hAnsi="Arial Narrow"/>
          <w:sz w:val="24"/>
        </w:rPr>
        <w:t>21</w:t>
      </w:r>
      <w:r>
        <w:rPr>
          <w:rFonts w:ascii="Arial Narrow" w:hAnsi="Arial Narrow"/>
          <w:sz w:val="24"/>
        </w:rPr>
        <w:t>年重点项目取得了较好的社会效益，具体如下表：</w:t>
      </w:r>
    </w:p>
    <w:tbl>
      <w:tblPr>
        <w:tblStyle w:val="5"/>
        <w:tblW w:w="9039"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817"/>
        <w:gridCol w:w="1985"/>
        <w:gridCol w:w="6237"/>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blHeader/>
        </w:trPr>
        <w:tc>
          <w:tcPr>
            <w:tcW w:w="817" w:type="dxa"/>
          </w:tcPr>
          <w:p>
            <w:pPr>
              <w:spacing w:after="93" w:afterLines="30"/>
              <w:ind w:right="-6" w:rightChars="-3"/>
              <w:rPr>
                <w:rFonts w:ascii="宋体" w:hAnsi="宋体"/>
                <w:szCs w:val="21"/>
              </w:rPr>
            </w:pPr>
            <w:r>
              <w:rPr>
                <w:rFonts w:hint="eastAsia" w:ascii="宋体" w:hAnsi="宋体"/>
                <w:szCs w:val="21"/>
              </w:rPr>
              <w:t>序号</w:t>
            </w:r>
          </w:p>
        </w:tc>
        <w:tc>
          <w:tcPr>
            <w:tcW w:w="1985" w:type="dxa"/>
          </w:tcPr>
          <w:p>
            <w:pPr>
              <w:spacing w:after="93" w:afterLines="30"/>
              <w:ind w:right="-6" w:rightChars="-3"/>
              <w:jc w:val="center"/>
              <w:rPr>
                <w:rFonts w:ascii="宋体" w:hAnsi="宋体"/>
                <w:szCs w:val="21"/>
              </w:rPr>
            </w:pPr>
            <w:r>
              <w:rPr>
                <w:rFonts w:hint="eastAsia" w:ascii="宋体" w:hAnsi="宋体"/>
                <w:szCs w:val="21"/>
              </w:rPr>
              <w:t>项目名称</w:t>
            </w:r>
          </w:p>
        </w:tc>
        <w:tc>
          <w:tcPr>
            <w:tcW w:w="6237" w:type="dxa"/>
          </w:tcPr>
          <w:p>
            <w:pPr>
              <w:spacing w:after="93" w:afterLines="30"/>
              <w:ind w:right="-6" w:rightChars="-3"/>
              <w:jc w:val="center"/>
              <w:rPr>
                <w:rFonts w:ascii="宋体" w:hAnsi="宋体"/>
                <w:szCs w:val="21"/>
              </w:rPr>
            </w:pPr>
            <w:r>
              <w:rPr>
                <w:rFonts w:hint="eastAsia" w:ascii="宋体" w:hAnsi="宋体"/>
                <w:szCs w:val="21"/>
              </w:rPr>
              <w:t>社会效益</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1</w:t>
            </w:r>
          </w:p>
        </w:tc>
        <w:tc>
          <w:tcPr>
            <w:tcW w:w="1985" w:type="dxa"/>
            <w:vAlign w:val="center"/>
          </w:tcPr>
          <w:p>
            <w:pPr>
              <w:jc w:val="left"/>
              <w:rPr>
                <w:rFonts w:ascii="Arial Narrow" w:hAnsi="Arial Narrow" w:cs="宋体"/>
                <w:color w:val="000000"/>
                <w:szCs w:val="21"/>
              </w:rPr>
            </w:pPr>
            <w:r>
              <w:rPr>
                <w:rFonts w:ascii="Arial Narrow" w:hAnsi="Arial Narrow"/>
                <w:color w:val="000000"/>
                <w:szCs w:val="21"/>
              </w:rPr>
              <w:t>重大现实问题研究课题、区情调研</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对自治区经济社会文化中的难点热点问题进行有效分析研究，结项课题论证有据、观点新颖，对策建议针对性、可操作性强，部分课题得到自治区领导肯定性批示，能够为各级政府部门、科研机构、企事业单位及社会各界人士提供参阅价值。</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2</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网络</w:t>
            </w:r>
            <w:r>
              <w:rPr>
                <w:rFonts w:ascii="Arial Narrow" w:hAnsi="Arial Narrow"/>
                <w:color w:val="000000"/>
                <w:szCs w:val="21"/>
              </w:rPr>
              <w:t>安全与信息化建设</w:t>
            </w:r>
          </w:p>
        </w:tc>
        <w:tc>
          <w:tcPr>
            <w:tcW w:w="6237" w:type="dxa"/>
            <w:vAlign w:val="center"/>
          </w:tcPr>
          <w:p>
            <w:pPr>
              <w:spacing w:after="93" w:afterLines="30"/>
              <w:ind w:right="-6" w:rightChars="-3"/>
              <w:jc w:val="left"/>
              <w:rPr>
                <w:rFonts w:ascii="宋体" w:hAnsi="宋体"/>
                <w:szCs w:val="21"/>
              </w:rPr>
            </w:pPr>
            <w:r>
              <w:rPr>
                <w:rFonts w:ascii="宋体" w:hAnsi="宋体"/>
                <w:szCs w:val="21"/>
              </w:rPr>
              <w:t>提高了宁夏社会科学院网站数据安全</w:t>
            </w:r>
            <w:r>
              <w:rPr>
                <w:rFonts w:hint="eastAsia" w:ascii="宋体" w:hAnsi="宋体"/>
                <w:szCs w:val="21"/>
              </w:rPr>
              <w:t>，</w:t>
            </w:r>
            <w:r>
              <w:rPr>
                <w:rFonts w:ascii="宋体" w:hAnsi="宋体"/>
                <w:szCs w:val="21"/>
              </w:rPr>
              <w:t>为科研工作提供了基本保障</w:t>
            </w:r>
            <w:r>
              <w:rPr>
                <w:rFonts w:hint="eastAsia" w:ascii="宋体" w:hAnsi="宋体"/>
                <w:szCs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c>
          <w:tcPr>
            <w:tcW w:w="817" w:type="dxa"/>
            <w:vAlign w:val="center"/>
          </w:tcPr>
          <w:p>
            <w:pPr>
              <w:jc w:val="center"/>
            </w:pPr>
            <w:r>
              <w:t>3</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人才</w:t>
            </w:r>
            <w:r>
              <w:rPr>
                <w:rFonts w:ascii="Arial Narrow" w:hAnsi="Arial Narrow"/>
                <w:color w:val="000000"/>
                <w:szCs w:val="21"/>
              </w:rPr>
              <w:t>培养</w:t>
            </w:r>
          </w:p>
        </w:tc>
        <w:tc>
          <w:tcPr>
            <w:tcW w:w="6237" w:type="dxa"/>
            <w:vAlign w:val="center"/>
          </w:tcPr>
          <w:p>
            <w:pPr>
              <w:spacing w:after="93" w:afterLines="30"/>
              <w:ind w:right="-6" w:rightChars="-3"/>
              <w:jc w:val="left"/>
              <w:rPr>
                <w:rFonts w:ascii="宋体" w:hAnsi="宋体"/>
                <w:szCs w:val="21"/>
              </w:rPr>
            </w:pPr>
            <w:r>
              <w:rPr>
                <w:rFonts w:ascii="宋体" w:hAnsi="宋体"/>
                <w:szCs w:val="21"/>
              </w:rPr>
              <w:t>自主公开招聘工作</w:t>
            </w:r>
            <w:r>
              <w:rPr>
                <w:rFonts w:hint="eastAsia" w:ascii="宋体" w:hAnsi="宋体"/>
                <w:szCs w:val="21"/>
              </w:rPr>
              <w:t>实现</w:t>
            </w:r>
            <w:r>
              <w:rPr>
                <w:rFonts w:ascii="宋体" w:hAnsi="宋体"/>
                <w:szCs w:val="21"/>
              </w:rPr>
              <w:t>了关键岗位人才补充</w:t>
            </w:r>
            <w:r>
              <w:rPr>
                <w:rFonts w:hint="eastAsia" w:ascii="宋体" w:hAnsi="宋体"/>
                <w:szCs w:val="21"/>
              </w:rPr>
              <w:t>，增进了</w:t>
            </w:r>
            <w:r>
              <w:rPr>
                <w:rFonts w:ascii="宋体" w:hAnsi="宋体"/>
                <w:szCs w:val="21"/>
              </w:rPr>
              <w:t>宁夏社会科学院在社科领域对高层次人才的影响</w:t>
            </w:r>
            <w:r>
              <w:rPr>
                <w:rFonts w:hint="eastAsia" w:ascii="宋体" w:hAnsi="宋体"/>
                <w:szCs w:val="21"/>
              </w:rPr>
              <w:t>，</w:t>
            </w:r>
            <w:r>
              <w:rPr>
                <w:rFonts w:ascii="宋体" w:hAnsi="宋体"/>
                <w:szCs w:val="21"/>
              </w:rPr>
              <w:t>吸引了人才</w:t>
            </w:r>
            <w:r>
              <w:rPr>
                <w:rFonts w:hint="eastAsia" w:ascii="宋体" w:hAnsi="宋体"/>
                <w:szCs w:val="21"/>
              </w:rPr>
              <w:t>；资助在职人员攻读更高学历，留住了人才。</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4</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馆藏古籍数字化及版本鉴定</w:t>
            </w:r>
          </w:p>
        </w:tc>
        <w:tc>
          <w:tcPr>
            <w:tcW w:w="6237" w:type="dxa"/>
            <w:vAlign w:val="center"/>
          </w:tcPr>
          <w:p>
            <w:pPr>
              <w:spacing w:after="93" w:afterLines="30"/>
              <w:ind w:right="-6" w:rightChars="-3"/>
              <w:jc w:val="left"/>
              <w:rPr>
                <w:rFonts w:ascii="宋体" w:hAnsi="宋体"/>
                <w:szCs w:val="21"/>
              </w:rPr>
            </w:pPr>
            <w:r>
              <w:rPr>
                <w:rFonts w:ascii="宋体" w:hAnsi="宋体"/>
                <w:szCs w:val="21"/>
              </w:rPr>
              <w:t>为古籍整理研究和保护注入新的活力</w:t>
            </w:r>
            <w:r>
              <w:rPr>
                <w:rFonts w:hint="eastAsia" w:ascii="宋体" w:hAnsi="宋体"/>
                <w:szCs w:val="21"/>
              </w:rPr>
              <w:t>，</w:t>
            </w:r>
            <w:r>
              <w:rPr>
                <w:rFonts w:ascii="宋体" w:hAnsi="宋体"/>
                <w:szCs w:val="21"/>
              </w:rPr>
              <w:t>通过互联网</w:t>
            </w:r>
            <w:r>
              <w:rPr>
                <w:rFonts w:hint="eastAsia" w:ascii="宋体" w:hAnsi="宋体"/>
                <w:szCs w:val="21"/>
              </w:rPr>
              <w:t>+古籍数字化，让更多人体验古籍的收集、整理、还原的过程，实现优秀中国传统文化的再现与保护，有助于增强传统文化传承价值和受众范围。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0" w:hRule="atLeast"/>
        </w:trPr>
        <w:tc>
          <w:tcPr>
            <w:tcW w:w="817" w:type="dxa"/>
            <w:vAlign w:val="center"/>
          </w:tcPr>
          <w:p>
            <w:pPr>
              <w:jc w:val="center"/>
            </w:pPr>
            <w:r>
              <w:t>5</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古籍</w:t>
            </w:r>
            <w:r>
              <w:rPr>
                <w:rFonts w:ascii="Arial Narrow" w:hAnsi="Arial Narrow"/>
                <w:color w:val="000000"/>
                <w:szCs w:val="21"/>
              </w:rPr>
              <w:t>善本第一阶段保护性数字扫描</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该项目中华版本普查工作密切结合，对了解宁夏社会科学院古籍馆藏现状，加强古籍保护和管理具有重要意义。</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98" w:hRule="atLeast"/>
        </w:trPr>
        <w:tc>
          <w:tcPr>
            <w:tcW w:w="817" w:type="dxa"/>
            <w:vAlign w:val="center"/>
          </w:tcPr>
          <w:p>
            <w:pPr>
              <w:jc w:val="center"/>
            </w:pPr>
            <w:r>
              <w:t>6</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经济学</w:t>
            </w:r>
            <w:r>
              <w:rPr>
                <w:rFonts w:ascii="Arial Narrow" w:hAnsi="Arial Narrow"/>
                <w:color w:val="000000"/>
                <w:szCs w:val="21"/>
              </w:rPr>
              <w:t>学科</w:t>
            </w:r>
          </w:p>
        </w:tc>
        <w:tc>
          <w:tcPr>
            <w:tcW w:w="6237" w:type="dxa"/>
          </w:tcPr>
          <w:p>
            <w:pPr>
              <w:spacing w:after="93" w:afterLines="30"/>
              <w:ind w:right="-6" w:rightChars="-3"/>
              <w:jc w:val="left"/>
              <w:rPr>
                <w:rFonts w:ascii="宋体" w:hAnsi="宋体"/>
                <w:szCs w:val="21"/>
              </w:rPr>
            </w:pPr>
            <w:r>
              <w:rPr>
                <w:rFonts w:hint="eastAsia" w:ascii="宋体" w:hAnsi="宋体"/>
                <w:szCs w:val="21"/>
              </w:rPr>
              <w:t>学科以经济发展前瞻性问题研究为主要内容，为宁夏经济建设提供资料支撑，</w:t>
            </w:r>
            <w:r>
              <w:rPr>
                <w:rFonts w:ascii="宋体" w:hAnsi="宋体"/>
                <w:szCs w:val="21"/>
              </w:rPr>
              <w:t xml:space="preserve"> 为政府部门及人民提供决策咨询服务</w:t>
            </w:r>
            <w:r>
              <w:rPr>
                <w:rFonts w:hint="eastAsia" w:ascii="宋体" w:hAnsi="宋体"/>
                <w:szCs w:val="21"/>
              </w:rPr>
              <w:t>，培养应用经济学科人才、建设高水平应用经济学科。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7</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生态文明学学科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以宁夏生态文明建设研究为主要内容，为科研人员提供学科经费支撑，为宁夏生态文明建设提供人才支撑，构建生态文明学科建设人才队伍，为生态文明发展建设创新路径。</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8</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政法学</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以政法学学科建设前瞻性问题研究为主要内容，为政法学科研究开展、人才队伍建设提供经费支撑，提高宁夏政法学研究学术影响力的同时，为宁夏法治发展热点、难点、痛点问题提供学术智力决策咨询建议。</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9</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社会学</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以社会学学科建设前瞻性问题研究为主要内容，为社会学科研究开展、人才队伍建设提供经费支撑，提高宁夏社会学研究学术影响力的同时，为宁夏社会发展热点、难点、痛点问题提供学术智力决策咨询建议。</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10</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文化学</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以2021年宁夏文化建设前瞻性问题研究为主要内容，为宁夏文化建设提供资料支撑，为各级政府部门、科研机构、企事业单位及社会各界人士提供参阅价值。</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11</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民族学</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民族学科科研人员参加区内外民族学术研讨与交流会、培训会，提升成员学术研究水平，研究注重历史文化与现实问题的结合，历史文献研究与田野调查的结合，基础研究与应用研究的结合，保持在宁夏乃至全国民族学研究优势，推动民族学科建设发展。</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t>12</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西夏学</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主要涉及宁夏地方历史文化、敦煌学等研究方向，不仅对研究中华民族多元化一体格局的形成具有不可替代的典型意义，还能深化当代我国民族由来及民族关系、民族发展等相关问题的认识，进而为今日民族政策与民族地区发展提供有益的借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rPr>
                <w:rFonts w:hint="eastAsia"/>
              </w:rPr>
              <w:t>13</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地方历史文化</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本学科及《宁夏地方历史文化从论》为宁夏社会科学院地方历史文化学科成员提供了良好的学术研究平台，促进了学术交流和学术成果转化，对宁夏地方历史文化的建设和积累起到了积极的作用。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17" w:type="dxa"/>
            <w:vAlign w:val="center"/>
          </w:tcPr>
          <w:p>
            <w:pPr>
              <w:jc w:val="center"/>
            </w:pPr>
            <w:r>
              <w:rPr>
                <w:rFonts w:hint="eastAsia"/>
              </w:rPr>
              <w:t>14</w:t>
            </w:r>
          </w:p>
        </w:tc>
        <w:tc>
          <w:tcPr>
            <w:tcW w:w="1985" w:type="dxa"/>
            <w:vAlign w:val="center"/>
          </w:tcPr>
          <w:p>
            <w:pPr>
              <w:jc w:val="left"/>
              <w:rPr>
                <w:rFonts w:ascii="Arial Narrow" w:hAnsi="Arial Narrow" w:cs="宋体"/>
                <w:color w:val="000000"/>
                <w:szCs w:val="21"/>
              </w:rPr>
            </w:pPr>
            <w:r>
              <w:rPr>
                <w:rFonts w:hint="eastAsia" w:ascii="Arial Narrow" w:hAnsi="Arial Narrow"/>
                <w:color w:val="000000"/>
                <w:szCs w:val="21"/>
              </w:rPr>
              <w:t>民族文献</w:t>
            </w:r>
            <w:r>
              <w:rPr>
                <w:rFonts w:ascii="Arial Narrow" w:hAnsi="Arial Narrow"/>
                <w:color w:val="000000"/>
                <w:szCs w:val="21"/>
              </w:rPr>
              <w:t>学科</w:t>
            </w:r>
          </w:p>
        </w:tc>
        <w:tc>
          <w:tcPr>
            <w:tcW w:w="6237" w:type="dxa"/>
            <w:vAlign w:val="center"/>
          </w:tcPr>
          <w:p>
            <w:pPr>
              <w:spacing w:after="93" w:afterLines="30"/>
              <w:ind w:right="-6" w:rightChars="-3"/>
              <w:jc w:val="left"/>
              <w:rPr>
                <w:rFonts w:ascii="宋体" w:hAnsi="宋体"/>
                <w:szCs w:val="21"/>
              </w:rPr>
            </w:pPr>
            <w:r>
              <w:rPr>
                <w:rFonts w:hint="eastAsia" w:ascii="宋体" w:hAnsi="宋体"/>
                <w:szCs w:val="21"/>
              </w:rPr>
              <w:t>宁夏民族文献的文化价值、学术价值、文献价值、史料价值会随着历史研究的深入而逐步的凸显出来，具有深远影响，为宁夏地方经济、文化建设服务。拓宽了宁夏历史文化研究领域，得到了宁夏地方历史史学研究学者的一致好评。</w:t>
            </w:r>
          </w:p>
        </w:tc>
      </w:tr>
    </w:tbl>
    <w:p>
      <w:pPr>
        <w:pStyle w:val="3"/>
        <w:ind w:firstLine="480" w:firstLineChars="200"/>
        <w:rPr>
          <w:rFonts w:ascii="宋体" w:hAnsi="宋体"/>
          <w:b w:val="0"/>
          <w:sz w:val="24"/>
        </w:rPr>
      </w:pPr>
      <w:bookmarkStart w:id="3" w:name="_Toc101447869"/>
      <w:r>
        <w:rPr>
          <w:rFonts w:hint="eastAsia" w:ascii="宋体" w:hAnsi="宋体"/>
          <w:b w:val="0"/>
          <w:sz w:val="24"/>
        </w:rPr>
        <w:t>2. 满意度</w:t>
      </w:r>
      <w:bookmarkEnd w:id="3"/>
    </w:p>
    <w:p>
      <w:pPr>
        <w:spacing w:after="156" w:afterLines="50" w:line="360" w:lineRule="auto"/>
        <w:ind w:firstLine="480" w:firstLineChars="200"/>
        <w:rPr>
          <w:rFonts w:ascii="Arial Narrow" w:hAnsi="Arial Narrow"/>
          <w:sz w:val="24"/>
        </w:rPr>
      </w:pPr>
      <w:r>
        <w:rPr>
          <w:rFonts w:ascii="Arial Narrow" w:hAnsi="Arial Narrow"/>
          <w:sz w:val="24"/>
        </w:rPr>
        <w:t>本次20</w:t>
      </w:r>
      <w:r>
        <w:rPr>
          <w:rFonts w:hint="eastAsia" w:ascii="Arial Narrow" w:hAnsi="Arial Narrow"/>
          <w:sz w:val="24"/>
        </w:rPr>
        <w:t>21</w:t>
      </w:r>
      <w:r>
        <w:rPr>
          <w:rFonts w:ascii="Arial Narrow" w:hAnsi="Arial Narrow"/>
          <w:sz w:val="24"/>
        </w:rPr>
        <w:t>年度重点项目支出绩效评价共发放4</w:t>
      </w:r>
      <w:r>
        <w:rPr>
          <w:rFonts w:hint="eastAsia" w:ascii="Arial Narrow" w:hAnsi="Arial Narrow"/>
          <w:sz w:val="24"/>
        </w:rPr>
        <w:t>20</w:t>
      </w:r>
      <w:r>
        <w:rPr>
          <w:rFonts w:ascii="Arial Narrow" w:hAnsi="Arial Narrow"/>
          <w:sz w:val="24"/>
        </w:rPr>
        <w:t>份问卷，调查服务对象满意度。经统计，收回问卷4</w:t>
      </w:r>
      <w:r>
        <w:rPr>
          <w:rFonts w:hint="eastAsia" w:ascii="Arial Narrow" w:hAnsi="Arial Narrow"/>
          <w:sz w:val="24"/>
        </w:rPr>
        <w:t>09</w:t>
      </w:r>
      <w:r>
        <w:rPr>
          <w:rFonts w:ascii="Arial Narrow" w:hAnsi="Arial Narrow"/>
          <w:sz w:val="24"/>
        </w:rPr>
        <w:t>份，项目总体满意度为</w:t>
      </w:r>
      <w:r>
        <w:rPr>
          <w:rFonts w:hint="eastAsia" w:ascii="Arial Narrow" w:hAnsi="Arial Narrow"/>
          <w:sz w:val="24"/>
        </w:rPr>
        <w:t>94.28</w:t>
      </w:r>
      <w:r>
        <w:rPr>
          <w:rFonts w:ascii="Arial Narrow" w:hAnsi="Arial Narrow"/>
          <w:sz w:val="24"/>
        </w:rPr>
        <w:t>%。</w:t>
      </w:r>
    </w:p>
    <w:p>
      <w:pPr>
        <w:spacing w:before="240" w:after="156" w:afterLines="50" w:line="360" w:lineRule="auto"/>
        <w:ind w:right="210" w:rightChars="100" w:firstLine="481" w:firstLineChars="200"/>
        <w:jc w:val="left"/>
        <w:outlineLvl w:val="0"/>
        <w:rPr>
          <w:rFonts w:ascii="宋体" w:hAnsi="宋体" w:cs="宋体"/>
          <w:b/>
          <w:bCs/>
          <w:sz w:val="24"/>
          <w:szCs w:val="24"/>
        </w:rPr>
      </w:pPr>
      <w:r>
        <w:rPr>
          <w:rFonts w:hint="eastAsia" w:ascii="宋体" w:hAnsi="宋体" w:cs="宋体"/>
          <w:b/>
          <w:bCs/>
          <w:sz w:val="24"/>
          <w:szCs w:val="24"/>
        </w:rPr>
        <w:t>三、下一步整改措施</w:t>
      </w:r>
    </w:p>
    <w:p>
      <w:pPr>
        <w:spacing w:after="156" w:afterLines="50" w:line="360" w:lineRule="auto"/>
        <w:ind w:firstLine="480" w:firstLineChars="200"/>
      </w:pPr>
      <w:r>
        <w:rPr>
          <w:rFonts w:hint="eastAsia" w:ascii="Arial Narrow" w:hAnsi="Arial Narrow"/>
          <w:sz w:val="24"/>
        </w:rPr>
        <w:t>通过对</w:t>
      </w:r>
      <w:r>
        <w:rPr>
          <w:rFonts w:hint="eastAsia" w:ascii="宋体" w:hAnsi="宋体"/>
          <w:sz w:val="24"/>
          <w:szCs w:val="24"/>
        </w:rPr>
        <w:t>重点项目进行第三方绩效评价，第三方绩效评价效果明显，在评价过程中提高了大家对项目预算绩效管理的认识，大大推进了我院预算绩效管理工作，预算绩效的理念进一步深入人心。</w:t>
      </w:r>
      <w:r>
        <w:rPr>
          <w:rFonts w:hint="eastAsia" w:ascii="Arial Narrow" w:hAnsi="Arial Narrow"/>
          <w:sz w:val="24"/>
        </w:rPr>
        <w:t>今后，我们将进一步加强</w:t>
      </w:r>
      <w:r>
        <w:rPr>
          <w:rFonts w:ascii="Arial Narrow" w:hAnsi="Arial Narrow"/>
          <w:sz w:val="24"/>
        </w:rPr>
        <w:t>预算资金使用监督与管理，</w:t>
      </w:r>
      <w:r>
        <w:rPr>
          <w:rFonts w:hint="eastAsia" w:ascii="宋体" w:hAnsi="宋体"/>
          <w:sz w:val="24"/>
          <w:szCs w:val="24"/>
        </w:rPr>
        <w:t>加快项目执行进度，</w:t>
      </w:r>
      <w:r>
        <w:rPr>
          <w:rFonts w:ascii="Arial Narrow" w:hAnsi="Arial Narrow"/>
          <w:sz w:val="24"/>
        </w:rPr>
        <w:t>使有限资金充分发挥最大效益，使更多</w:t>
      </w:r>
      <w:r>
        <w:rPr>
          <w:rFonts w:hint="eastAsia" w:ascii="Arial Narrow" w:hAnsi="Arial Narrow"/>
          <w:sz w:val="24"/>
        </w:rPr>
        <w:t>受众</w:t>
      </w:r>
      <w:r>
        <w:rPr>
          <w:rFonts w:ascii="Arial Narrow" w:hAnsi="Arial Narrow"/>
          <w:sz w:val="24"/>
        </w:rPr>
        <w:t>能够分享、利用</w:t>
      </w:r>
      <w:r>
        <w:rPr>
          <w:rFonts w:hint="eastAsia" w:ascii="Arial Narrow" w:hAnsi="Arial Narrow"/>
          <w:sz w:val="24"/>
        </w:rPr>
        <w:t>我</w:t>
      </w:r>
      <w:r>
        <w:rPr>
          <w:rFonts w:ascii="Arial Narrow" w:hAnsi="Arial Narrow"/>
          <w:sz w:val="24"/>
        </w:rPr>
        <w:t>院的科研成果。</w:t>
      </w:r>
      <w:r>
        <w:rPr>
          <w:rFonts w:hint="eastAsia" w:ascii="宋体" w:hAnsi="宋体"/>
          <w:sz w:val="24"/>
          <w:szCs w:val="24"/>
        </w:rPr>
        <w:t xml:space="preserve">                                                                                                                      </w:t>
      </w:r>
      <w:r>
        <w:rPr>
          <w:rFonts w:hint="eastAsia"/>
        </w:rPr>
        <w:t xml:space="preserve">  </w:t>
      </w:r>
    </w:p>
    <w:p/>
    <w:p>
      <w:pPr>
        <w:spacing w:after="156" w:afterLines="50" w:line="360" w:lineRule="auto"/>
        <w:ind w:left="5880" w:leftChars="200" w:hanging="5460" w:hangingChars="2600"/>
        <w:jc w:val="right"/>
        <w:rPr>
          <w:rFonts w:ascii="宋体" w:hAnsi="宋体"/>
          <w:sz w:val="24"/>
          <w:szCs w:val="24"/>
        </w:rPr>
      </w:pPr>
      <w:r>
        <w:rPr>
          <w:rFonts w:hint="eastAsia" w:ascii="宋体" w:hAnsi="宋体" w:cs="宋体"/>
        </w:rPr>
        <w:t xml:space="preserve">                                      </w:t>
      </w:r>
      <w:r>
        <w:rPr>
          <w:rFonts w:hint="eastAsia" w:ascii="宋体" w:hAnsi="宋体"/>
          <w:sz w:val="24"/>
          <w:szCs w:val="24"/>
        </w:rPr>
        <w:t xml:space="preserve">          宁夏社会科学院                                                                                                                                                                                    2022年5月24日</w:t>
      </w:r>
    </w:p>
    <w:p>
      <w:pPr>
        <w:spacing w:after="156" w:afterLines="50" w:line="360" w:lineRule="auto"/>
        <w:ind w:firstLine="480" w:firstLineChars="200"/>
        <w:rPr>
          <w:rFonts w:ascii="宋体" w:hAnsi="宋体"/>
          <w:sz w:val="24"/>
          <w:szCs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Narrow">
    <w:altName w:val="Times New Roman"/>
    <w:panose1 w:val="020B0606020202030204"/>
    <w:charset w:val="00"/>
    <w:family w:val="swiss"/>
    <w:pitch w:val="default"/>
    <w:sig w:usb0="00000000"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华文楷体">
    <w:altName w:val="方正楷体_GBK"/>
    <w:panose1 w:val="02010600040101010101"/>
    <w:charset w:val="86"/>
    <w:family w:val="auto"/>
    <w:pitch w:val="default"/>
    <w:sig w:usb0="00000000" w:usb1="00000000" w:usb2="00000010" w:usb3="00000000" w:csb0="0004009F" w:csb1="00000000"/>
  </w:font>
  <w:font w:name="方正楷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A99"/>
    <w:rsid w:val="001339C1"/>
    <w:rsid w:val="00376A99"/>
    <w:rsid w:val="00721AA7"/>
    <w:rsid w:val="0085360A"/>
    <w:rsid w:val="2CBBAC51"/>
    <w:rsid w:val="7F36D6A6"/>
    <w:rsid w:val="DEBDF8B9"/>
    <w:rsid w:val="DF7F2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qFormat/>
    <w:uiPriority w:val="9"/>
    <w:pPr>
      <w:keepNext/>
      <w:keepLines/>
      <w:spacing w:before="260" w:after="260" w:line="416" w:lineRule="auto"/>
      <w:outlineLvl w:val="1"/>
    </w:pPr>
    <w:rPr>
      <w:rFonts w:ascii="Calibri Light" w:hAnsi="Calibri Light"/>
      <w:b/>
      <w:bCs/>
      <w:sz w:val="32"/>
      <w:szCs w:val="32"/>
    </w:rPr>
  </w:style>
  <w:style w:type="paragraph" w:styleId="3">
    <w:name w:val="heading 3"/>
    <w:basedOn w:val="1"/>
    <w:next w:val="1"/>
    <w:qFormat/>
    <w:uiPriority w:val="9"/>
    <w:pPr>
      <w:keepNext/>
      <w:keepLines/>
      <w:spacing w:before="260" w:after="260" w:line="416" w:lineRule="auto"/>
      <w:outlineLvl w:val="2"/>
    </w:pPr>
    <w:rPr>
      <w:b/>
      <w:bCs/>
      <w:sz w:val="32"/>
      <w:szCs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qFormat/>
    <w:uiPriority w:val="0"/>
    <w:rPr>
      <w:sz w:val="18"/>
      <w:szCs w:val="18"/>
    </w:rPr>
  </w:style>
  <w:style w:type="character" w:customStyle="1" w:styleId="7">
    <w:name w:val="批注框文本 Char"/>
    <w:basedOn w:val="6"/>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sky/C:\Users\sky-115\Documents\WeChat%20Files\wxid_wznyubuaqh9x21\FileStorage\File\2022-05\&#23425;&#22799;&#31038;&#20250;&#31185;&#23398;&#38498;2021&#24180;&#24230;&#37325;&#28857;&#39033;&#30446;&#25903;&#20986;&#32489;&#25928;&#35780;&#20215;&#25253;&#21578;.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宁夏社会科学院2021年度重点项目支出绩效评价报告</Template>
  <Pages>11</Pages>
  <Words>1063</Words>
  <Characters>6063</Characters>
  <Lines>50</Lines>
  <Paragraphs>14</Paragraphs>
  <TotalTime>30</TotalTime>
  <ScaleCrop>false</ScaleCrop>
  <LinksUpToDate>false</LinksUpToDate>
  <CharactersWithSpaces>7112</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2022-06-02T10:15:00Z</dcterms:created>
  <dc:creator>sky-115</dc:creator>
  <cp:lastModifiedBy>sky</cp:lastModifiedBy>
  <dcterms:modified xsi:type="dcterms:W3CDTF">2022-09-06T16:05:27Z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